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45FB" w14:textId="4B4D0CDD" w:rsidR="006D1FC7" w:rsidRPr="001D66A2" w:rsidRDefault="008D726C" w:rsidP="00642A47">
      <w:pPr>
        <w:pStyle w:val="NoSpacing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Le</w:t>
      </w:r>
      <w:r w:rsidR="006D1FC7" w:rsidRPr="001D66A2">
        <w:rPr>
          <w:b/>
          <w:sz w:val="20"/>
          <w:szCs w:val="20"/>
        </w:rPr>
        <w:t>arning Module Number 1</w:t>
      </w:r>
    </w:p>
    <w:p w14:paraId="374BA58C" w14:textId="7C393F83" w:rsidR="006D1FC7" w:rsidRPr="001D66A2" w:rsidRDefault="006D1FC7" w:rsidP="00642A47">
      <w:pPr>
        <w:pStyle w:val="NoSpacing"/>
        <w:jc w:val="center"/>
        <w:rPr>
          <w:b/>
          <w:sz w:val="24"/>
          <w:szCs w:val="24"/>
        </w:rPr>
      </w:pPr>
      <w:r w:rsidRPr="001D66A2">
        <w:rPr>
          <w:b/>
          <w:sz w:val="24"/>
          <w:szCs w:val="24"/>
        </w:rPr>
        <w:t>Elastic Column</w:t>
      </w:r>
      <w:r w:rsidR="00642A47" w:rsidRPr="001D66A2">
        <w:rPr>
          <w:b/>
          <w:sz w:val="24"/>
          <w:szCs w:val="24"/>
        </w:rPr>
        <w:t xml:space="preserve"> Buckling and the Effect</w:t>
      </w:r>
      <w:r w:rsidR="00B23AD5" w:rsidRPr="001D66A2">
        <w:rPr>
          <w:b/>
          <w:sz w:val="24"/>
          <w:szCs w:val="24"/>
        </w:rPr>
        <w:t xml:space="preserve"> of End </w:t>
      </w:r>
      <w:r w:rsidRPr="001D66A2">
        <w:rPr>
          <w:b/>
          <w:sz w:val="24"/>
          <w:szCs w:val="24"/>
        </w:rPr>
        <w:t>Restraint</w:t>
      </w:r>
    </w:p>
    <w:p w14:paraId="6C1AACF8" w14:textId="77777777" w:rsidR="00CA3D0B" w:rsidRPr="001D66A2" w:rsidRDefault="00CA3D0B" w:rsidP="001B147E">
      <w:pPr>
        <w:pStyle w:val="NoSpacing"/>
        <w:rPr>
          <w:b/>
          <w:sz w:val="20"/>
          <w:szCs w:val="20"/>
        </w:rPr>
      </w:pPr>
    </w:p>
    <w:p w14:paraId="566AA060" w14:textId="0D58B6E2" w:rsidR="00B23AD5" w:rsidRPr="001D66A2" w:rsidRDefault="009F5080" w:rsidP="001B147E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Overview</w:t>
      </w:r>
    </w:p>
    <w:p w14:paraId="53976D7F" w14:textId="6F88ECAF" w:rsidR="006D1FC7" w:rsidRPr="001D66A2" w:rsidRDefault="0039215C" w:rsidP="001B147E">
      <w:pPr>
        <w:pStyle w:val="NoSpacing"/>
        <w:rPr>
          <w:sz w:val="20"/>
          <w:szCs w:val="20"/>
        </w:rPr>
      </w:pPr>
      <w:r w:rsidRPr="001D66A2">
        <w:rPr>
          <w:sz w:val="20"/>
          <w:szCs w:val="20"/>
        </w:rPr>
        <w:t xml:space="preserve">Using a </w:t>
      </w:r>
      <w:r w:rsidR="006D1FC7" w:rsidRPr="001D66A2">
        <w:rPr>
          <w:sz w:val="20"/>
          <w:szCs w:val="20"/>
        </w:rPr>
        <w:t>critical load analysis, the elastic fle</w:t>
      </w:r>
      <w:r w:rsidR="00435DDC" w:rsidRPr="001D66A2">
        <w:rPr>
          <w:sz w:val="20"/>
          <w:szCs w:val="20"/>
        </w:rPr>
        <w:t xml:space="preserve">xural buckling strength of a </w:t>
      </w:r>
      <w:r w:rsidR="00B23AD5" w:rsidRPr="001D66A2">
        <w:rPr>
          <w:sz w:val="20"/>
          <w:szCs w:val="20"/>
        </w:rPr>
        <w:t xml:space="preserve">column with various </w:t>
      </w:r>
      <w:r w:rsidR="00E527A1" w:rsidRPr="001D66A2">
        <w:rPr>
          <w:sz w:val="20"/>
          <w:szCs w:val="20"/>
        </w:rPr>
        <w:t>degrees</w:t>
      </w:r>
      <w:r w:rsidRPr="001D66A2">
        <w:rPr>
          <w:sz w:val="20"/>
          <w:szCs w:val="20"/>
        </w:rPr>
        <w:t xml:space="preserve"> of end restraint is</w:t>
      </w:r>
      <w:r w:rsidR="00B23AD5" w:rsidRPr="001D66A2">
        <w:rPr>
          <w:sz w:val="20"/>
          <w:szCs w:val="20"/>
        </w:rPr>
        <w:t xml:space="preserve"> investigated.</w:t>
      </w:r>
    </w:p>
    <w:p w14:paraId="1A2C30AC" w14:textId="77777777" w:rsidR="005D3ED7" w:rsidRPr="001D66A2" w:rsidRDefault="005D3ED7" w:rsidP="001B147E">
      <w:pPr>
        <w:pStyle w:val="NoSpacing"/>
        <w:rPr>
          <w:sz w:val="20"/>
          <w:szCs w:val="20"/>
        </w:rPr>
      </w:pPr>
    </w:p>
    <w:p w14:paraId="2C53F3B4" w14:textId="77777777" w:rsidR="005D3ED7" w:rsidRPr="001D66A2" w:rsidRDefault="005D3ED7" w:rsidP="005D3ED7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Learning Objectives</w:t>
      </w:r>
    </w:p>
    <w:p w14:paraId="2BB9033A" w14:textId="283DCCFC" w:rsidR="00B23AD5" w:rsidRPr="001D66A2" w:rsidRDefault="0011161F" w:rsidP="005D3ED7">
      <w:pPr>
        <w:pStyle w:val="NoSpacing"/>
        <w:numPr>
          <w:ilvl w:val="0"/>
          <w:numId w:val="27"/>
        </w:numPr>
        <w:rPr>
          <w:sz w:val="20"/>
          <w:szCs w:val="20"/>
        </w:rPr>
      </w:pPr>
      <w:r w:rsidRPr="001D66A2">
        <w:rPr>
          <w:sz w:val="20"/>
          <w:szCs w:val="20"/>
        </w:rPr>
        <w:t>Employ</w:t>
      </w:r>
      <w:r w:rsidR="00B23AD5" w:rsidRPr="001D66A2">
        <w:rPr>
          <w:sz w:val="20"/>
          <w:szCs w:val="20"/>
        </w:rPr>
        <w:t xml:space="preserve"> computational software to verify</w:t>
      </w:r>
      <w:r w:rsidR="00E527A1" w:rsidRPr="001D66A2">
        <w:rPr>
          <w:sz w:val="20"/>
          <w:szCs w:val="20"/>
        </w:rPr>
        <w:t xml:space="preserve"> the </w:t>
      </w:r>
      <w:r w:rsidR="007A2236" w:rsidRPr="001D66A2">
        <w:rPr>
          <w:sz w:val="20"/>
          <w:szCs w:val="20"/>
        </w:rPr>
        <w:t xml:space="preserve">theoretical </w:t>
      </w:r>
      <w:r w:rsidR="0039215C" w:rsidRPr="001D66A2">
        <w:rPr>
          <w:sz w:val="20"/>
          <w:szCs w:val="20"/>
        </w:rPr>
        <w:t xml:space="preserve">elastic column buckling </w:t>
      </w:r>
      <w:r w:rsidR="00E527A1" w:rsidRPr="001D66A2">
        <w:rPr>
          <w:sz w:val="20"/>
          <w:szCs w:val="20"/>
        </w:rPr>
        <w:t>solutions obtained from</w:t>
      </w:r>
      <w:r w:rsidR="00435DDC" w:rsidRPr="001D66A2">
        <w:rPr>
          <w:sz w:val="20"/>
          <w:szCs w:val="20"/>
        </w:rPr>
        <w:t xml:space="preserve"> </w:t>
      </w:r>
      <w:r w:rsidRPr="001D66A2">
        <w:rPr>
          <w:sz w:val="20"/>
          <w:szCs w:val="20"/>
        </w:rPr>
        <w:t>the use of</w:t>
      </w:r>
      <w:r w:rsidR="00435DDC" w:rsidRPr="001D66A2">
        <w:rPr>
          <w:sz w:val="20"/>
          <w:szCs w:val="20"/>
        </w:rPr>
        <w:t xml:space="preserve"> </w:t>
      </w:r>
      <w:r w:rsidR="0039215C" w:rsidRPr="001D66A2">
        <w:rPr>
          <w:sz w:val="20"/>
          <w:szCs w:val="20"/>
        </w:rPr>
        <w:t>differential equations</w:t>
      </w:r>
      <w:r w:rsidR="00B23AD5" w:rsidRPr="001D66A2">
        <w:rPr>
          <w:sz w:val="20"/>
          <w:szCs w:val="20"/>
        </w:rPr>
        <w:t>.</w:t>
      </w:r>
    </w:p>
    <w:p w14:paraId="2E780C8C" w14:textId="21FAA154" w:rsidR="00727F2B" w:rsidRPr="001D66A2" w:rsidRDefault="00727F2B" w:rsidP="00727F2B">
      <w:pPr>
        <w:pStyle w:val="NoSpacing"/>
        <w:numPr>
          <w:ilvl w:val="0"/>
          <w:numId w:val="27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Observe how the </w:t>
      </w:r>
      <w:r w:rsidR="007A2236" w:rsidRPr="001D66A2">
        <w:rPr>
          <w:sz w:val="20"/>
          <w:szCs w:val="20"/>
        </w:rPr>
        <w:t xml:space="preserve">load carrying capacity and </w:t>
      </w:r>
      <w:r w:rsidRPr="001D66A2">
        <w:rPr>
          <w:sz w:val="20"/>
          <w:szCs w:val="20"/>
        </w:rPr>
        <w:t xml:space="preserve">buckled shape </w:t>
      </w:r>
      <w:r w:rsidR="00E527A1" w:rsidRPr="001D66A2">
        <w:rPr>
          <w:sz w:val="20"/>
          <w:szCs w:val="20"/>
        </w:rPr>
        <w:t xml:space="preserve">vary </w:t>
      </w:r>
      <w:r w:rsidRPr="001D66A2">
        <w:rPr>
          <w:sz w:val="20"/>
          <w:szCs w:val="20"/>
        </w:rPr>
        <w:t>with different types of end restraint.</w:t>
      </w:r>
    </w:p>
    <w:p w14:paraId="18D798F8" w14:textId="2D5ECACC" w:rsidR="00286ACF" w:rsidRPr="001D66A2" w:rsidRDefault="00B23AD5" w:rsidP="005D3ED7">
      <w:pPr>
        <w:pStyle w:val="NoSpacing"/>
        <w:numPr>
          <w:ilvl w:val="0"/>
          <w:numId w:val="27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Confirm the theoretical effective length </w:t>
      </w:r>
      <w:r w:rsidRPr="001D66A2">
        <w:rPr>
          <w:i/>
          <w:sz w:val="20"/>
          <w:szCs w:val="20"/>
        </w:rPr>
        <w:t>K</w:t>
      </w:r>
      <w:r w:rsidR="000E0286">
        <w:rPr>
          <w:sz w:val="20"/>
          <w:szCs w:val="20"/>
        </w:rPr>
        <w:t>-factors</w:t>
      </w:r>
      <w:r w:rsidRPr="001D66A2">
        <w:rPr>
          <w:sz w:val="20"/>
          <w:szCs w:val="20"/>
        </w:rPr>
        <w:t xml:space="preserve"> that appear in Table C-A-7.1 of the Commentary on the AISC </w:t>
      </w:r>
      <w:r w:rsidRPr="001D66A2">
        <w:rPr>
          <w:i/>
          <w:sz w:val="20"/>
          <w:szCs w:val="20"/>
        </w:rPr>
        <w:t>Specification for Structural Steel Buildings</w:t>
      </w:r>
      <w:r w:rsidRPr="001D66A2">
        <w:rPr>
          <w:sz w:val="20"/>
          <w:szCs w:val="20"/>
        </w:rPr>
        <w:t xml:space="preserve"> (20</w:t>
      </w:r>
      <w:r w:rsidR="00335838">
        <w:rPr>
          <w:sz w:val="20"/>
          <w:szCs w:val="20"/>
        </w:rPr>
        <w:t>22</w:t>
      </w:r>
      <w:r w:rsidRPr="001D66A2">
        <w:rPr>
          <w:sz w:val="20"/>
          <w:szCs w:val="20"/>
        </w:rPr>
        <w:t>).</w:t>
      </w:r>
      <w:r w:rsidR="00286ACF" w:rsidRPr="001D66A2">
        <w:rPr>
          <w:sz w:val="20"/>
          <w:szCs w:val="20"/>
        </w:rPr>
        <w:br/>
      </w:r>
    </w:p>
    <w:p w14:paraId="3B65A8A7" w14:textId="4434C96A" w:rsidR="001B147E" w:rsidRPr="001D66A2" w:rsidRDefault="00F62616" w:rsidP="00286ACF">
      <w:pPr>
        <w:pStyle w:val="NoSpacing"/>
        <w:jc w:val="center"/>
        <w:rPr>
          <w:sz w:val="20"/>
          <w:szCs w:val="20"/>
        </w:rPr>
      </w:pPr>
      <w:r w:rsidRPr="00F62616">
        <w:rPr>
          <w:noProof/>
          <w:sz w:val="20"/>
          <w:szCs w:val="20"/>
        </w:rPr>
        <w:drawing>
          <wp:inline distT="0" distB="0" distL="0" distR="0" wp14:anchorId="381FB728" wp14:editId="610282B7">
            <wp:extent cx="3200400" cy="345923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459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14307" w14:textId="77777777" w:rsidR="00286ACF" w:rsidRDefault="00286ACF" w:rsidP="001B147E">
      <w:pPr>
        <w:pStyle w:val="NoSpacing"/>
        <w:rPr>
          <w:b/>
          <w:sz w:val="20"/>
          <w:szCs w:val="20"/>
        </w:rPr>
      </w:pPr>
    </w:p>
    <w:p w14:paraId="1F6CA876" w14:textId="77777777" w:rsidR="009F5080" w:rsidRPr="001D66A2" w:rsidRDefault="009F5080" w:rsidP="001B147E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Method</w:t>
      </w:r>
    </w:p>
    <w:p w14:paraId="4603EF53" w14:textId="5F802A01" w:rsidR="00050E29" w:rsidRPr="001D66A2" w:rsidRDefault="009F5080" w:rsidP="001B147E">
      <w:pPr>
        <w:pStyle w:val="NoSpacing"/>
        <w:rPr>
          <w:sz w:val="20"/>
          <w:szCs w:val="20"/>
        </w:rPr>
      </w:pPr>
      <w:r w:rsidRPr="001D66A2">
        <w:rPr>
          <w:sz w:val="20"/>
          <w:szCs w:val="20"/>
        </w:rPr>
        <w:t xml:space="preserve">Prepare a </w:t>
      </w:r>
      <w:r w:rsidR="00DF4036">
        <w:rPr>
          <w:sz w:val="20"/>
          <w:szCs w:val="20"/>
        </w:rPr>
        <w:t xml:space="preserve">computational </w:t>
      </w:r>
      <w:r w:rsidRPr="001D66A2">
        <w:rPr>
          <w:sz w:val="20"/>
          <w:szCs w:val="20"/>
        </w:rPr>
        <w:t xml:space="preserve">model of six parallel </w:t>
      </w:r>
      <w:r w:rsidR="00850029" w:rsidRPr="001D66A2">
        <w:rPr>
          <w:sz w:val="20"/>
          <w:szCs w:val="20"/>
        </w:rPr>
        <w:t>40-ft long steel W14x82 columns</w:t>
      </w:r>
      <w:r w:rsidRPr="001D66A2">
        <w:rPr>
          <w:sz w:val="20"/>
          <w:szCs w:val="20"/>
        </w:rPr>
        <w:t xml:space="preserve">.  </w:t>
      </w:r>
      <w:r w:rsidR="000329E8" w:rsidRPr="001D66A2">
        <w:rPr>
          <w:sz w:val="20"/>
          <w:szCs w:val="20"/>
        </w:rPr>
        <w:t>S</w:t>
      </w:r>
      <w:r w:rsidRPr="001D66A2">
        <w:rPr>
          <w:sz w:val="20"/>
          <w:szCs w:val="20"/>
        </w:rPr>
        <w:t xml:space="preserve">eparate the columns by 10-ft. </w:t>
      </w:r>
      <w:r w:rsidR="000329E8" w:rsidRPr="001D66A2">
        <w:rPr>
          <w:sz w:val="20"/>
          <w:szCs w:val="20"/>
        </w:rPr>
        <w:t xml:space="preserve">for clarity </w:t>
      </w:r>
      <w:r w:rsidRPr="001D66A2">
        <w:rPr>
          <w:sz w:val="20"/>
          <w:szCs w:val="20"/>
        </w:rPr>
        <w:t>and provide the end restraint conditions shown in Table C-A-7.1</w:t>
      </w:r>
      <w:r w:rsidR="00B85BAD" w:rsidRPr="001D66A2">
        <w:rPr>
          <w:sz w:val="20"/>
          <w:szCs w:val="20"/>
        </w:rPr>
        <w:t xml:space="preserve">. </w:t>
      </w:r>
      <w:r w:rsidR="00435DDC" w:rsidRPr="001D66A2">
        <w:rPr>
          <w:sz w:val="20"/>
          <w:szCs w:val="20"/>
        </w:rPr>
        <w:t xml:space="preserve"> </w:t>
      </w:r>
      <w:r w:rsidR="00FC7A25">
        <w:rPr>
          <w:sz w:val="20"/>
          <w:szCs w:val="20"/>
        </w:rPr>
        <w:t xml:space="preserve">Apply </w:t>
      </w:r>
      <w:r w:rsidR="00FC7A25" w:rsidRPr="001D66A2">
        <w:rPr>
          <w:sz w:val="20"/>
          <w:szCs w:val="20"/>
        </w:rPr>
        <w:t xml:space="preserve">a </w:t>
      </w:r>
      <w:r w:rsidR="00FC7A25">
        <w:rPr>
          <w:sz w:val="20"/>
          <w:szCs w:val="20"/>
        </w:rPr>
        <w:t xml:space="preserve">vertically downward </w:t>
      </w:r>
      <w:r w:rsidR="00FC7A25" w:rsidRPr="001D66A2">
        <w:rPr>
          <w:sz w:val="20"/>
          <w:szCs w:val="20"/>
        </w:rPr>
        <w:t xml:space="preserve">1-kip load </w:t>
      </w:r>
      <w:r w:rsidR="0091323F" w:rsidRPr="001D66A2">
        <w:rPr>
          <w:sz w:val="20"/>
          <w:szCs w:val="20"/>
        </w:rPr>
        <w:t>to the top of each column</w:t>
      </w:r>
      <w:r w:rsidR="0091323F">
        <w:rPr>
          <w:sz w:val="20"/>
          <w:szCs w:val="20"/>
        </w:rPr>
        <w:t xml:space="preserve"> and b</w:t>
      </w:r>
      <w:r w:rsidR="00435DDC" w:rsidRPr="001D66A2">
        <w:rPr>
          <w:sz w:val="20"/>
          <w:szCs w:val="20"/>
        </w:rPr>
        <w:t xml:space="preserve">e sure </w:t>
      </w:r>
      <w:r w:rsidR="00B85BAD" w:rsidRPr="001D66A2">
        <w:rPr>
          <w:sz w:val="20"/>
          <w:szCs w:val="20"/>
        </w:rPr>
        <w:t>that</w:t>
      </w:r>
      <w:r w:rsidR="00435DDC" w:rsidRPr="001D66A2">
        <w:rPr>
          <w:sz w:val="20"/>
          <w:szCs w:val="20"/>
        </w:rPr>
        <w:t xml:space="preserve"> th</w:t>
      </w:r>
      <w:r w:rsidR="0091323F">
        <w:rPr>
          <w:sz w:val="20"/>
          <w:szCs w:val="20"/>
        </w:rPr>
        <w:t>is point</w:t>
      </w:r>
      <w:r w:rsidR="00435DDC" w:rsidRPr="001D66A2">
        <w:rPr>
          <w:sz w:val="20"/>
          <w:szCs w:val="20"/>
        </w:rPr>
        <w:t xml:space="preserve"> is not restrained in the vertical direction</w:t>
      </w:r>
      <w:r w:rsidRPr="001D66A2">
        <w:rPr>
          <w:sz w:val="20"/>
          <w:szCs w:val="20"/>
        </w:rPr>
        <w:t xml:space="preserve">. </w:t>
      </w:r>
    </w:p>
    <w:p w14:paraId="20012922" w14:textId="77777777" w:rsidR="00AB6473" w:rsidRPr="001D66A2" w:rsidRDefault="00AB6473" w:rsidP="001B147E">
      <w:pPr>
        <w:pStyle w:val="NoSpacing"/>
        <w:rPr>
          <w:sz w:val="20"/>
          <w:szCs w:val="20"/>
        </w:rPr>
      </w:pPr>
    </w:p>
    <w:p w14:paraId="0BB7B251" w14:textId="2B5F5751" w:rsidR="001D66A2" w:rsidRDefault="00E527A1" w:rsidP="00C873D9">
      <w:pPr>
        <w:pStyle w:val="NoSpacing"/>
        <w:rPr>
          <w:sz w:val="20"/>
          <w:szCs w:val="20"/>
        </w:rPr>
      </w:pPr>
      <w:r w:rsidRPr="001D66A2">
        <w:rPr>
          <w:sz w:val="20"/>
          <w:szCs w:val="20"/>
        </w:rPr>
        <w:t>Perform a planar frame (2D)</w:t>
      </w:r>
      <w:r w:rsidR="00FA0DD3" w:rsidRPr="001D66A2">
        <w:rPr>
          <w:sz w:val="20"/>
          <w:szCs w:val="20"/>
        </w:rPr>
        <w:t xml:space="preserve"> </w:t>
      </w:r>
      <w:r w:rsidR="00FA0DD3" w:rsidRPr="00F76A66">
        <w:rPr>
          <w:sz w:val="20"/>
          <w:szCs w:val="20"/>
        </w:rPr>
        <w:t>elastic critical load analysis</w:t>
      </w:r>
      <w:r w:rsidR="00F76A66">
        <w:rPr>
          <w:rStyle w:val="FootnoteReference"/>
          <w:sz w:val="20"/>
          <w:szCs w:val="20"/>
        </w:rPr>
        <w:footnoteReference w:id="1"/>
      </w:r>
      <w:r w:rsidR="00FA0DD3" w:rsidRPr="001D66A2">
        <w:rPr>
          <w:sz w:val="20"/>
          <w:szCs w:val="20"/>
        </w:rPr>
        <w:t xml:space="preserve"> and compute the first 10 buckling modes for the system of columns.</w:t>
      </w:r>
      <w:r w:rsidR="000329E8" w:rsidRPr="001D66A2">
        <w:rPr>
          <w:sz w:val="20"/>
          <w:szCs w:val="20"/>
        </w:rPr>
        <w:t xml:space="preserve">  View the resulting 10 buckling modes and corresponding critical applied load ratios.  Note that you may need to increase the scale of the deflected shape to better </w:t>
      </w:r>
      <w:r w:rsidRPr="001D66A2">
        <w:rPr>
          <w:sz w:val="20"/>
          <w:szCs w:val="20"/>
        </w:rPr>
        <w:t>observe</w:t>
      </w:r>
      <w:r w:rsidR="000329E8" w:rsidRPr="001D66A2">
        <w:rPr>
          <w:sz w:val="20"/>
          <w:szCs w:val="20"/>
        </w:rPr>
        <w:t xml:space="preserve"> the buckling modes.</w:t>
      </w:r>
    </w:p>
    <w:p w14:paraId="24A1F37C" w14:textId="77777777" w:rsidR="00C873D9" w:rsidRDefault="00C873D9" w:rsidP="00C873D9">
      <w:pPr>
        <w:pStyle w:val="NoSpacing"/>
        <w:rPr>
          <w:b/>
          <w:sz w:val="20"/>
          <w:szCs w:val="20"/>
        </w:rPr>
      </w:pPr>
    </w:p>
    <w:p w14:paraId="77276EEA" w14:textId="77777777" w:rsidR="00F62616" w:rsidRDefault="00F62616" w:rsidP="0091323F">
      <w:pPr>
        <w:pStyle w:val="NoSpacing"/>
        <w:rPr>
          <w:sz w:val="20"/>
          <w:szCs w:val="20"/>
        </w:rPr>
      </w:pPr>
    </w:p>
    <w:p w14:paraId="074102DA" w14:textId="385D8797" w:rsidR="0091323F" w:rsidRPr="0091323F" w:rsidRDefault="0091323F" w:rsidP="0091323F">
      <w:pPr>
        <w:pStyle w:val="NoSpacing"/>
        <w:rPr>
          <w:sz w:val="20"/>
          <w:szCs w:val="20"/>
        </w:rPr>
      </w:pPr>
      <w:r w:rsidRPr="0091323F">
        <w:rPr>
          <w:sz w:val="20"/>
          <w:szCs w:val="20"/>
        </w:rPr>
        <w:t>Hints:</w:t>
      </w:r>
    </w:p>
    <w:p w14:paraId="641720C3" w14:textId="77777777" w:rsidR="0091323F" w:rsidRPr="0091323F" w:rsidRDefault="0091323F" w:rsidP="0091323F">
      <w:pPr>
        <w:pStyle w:val="NoSpacing"/>
        <w:numPr>
          <w:ilvl w:val="0"/>
          <w:numId w:val="49"/>
        </w:numPr>
        <w:rPr>
          <w:sz w:val="20"/>
          <w:szCs w:val="20"/>
        </w:rPr>
      </w:pPr>
      <w:r w:rsidRPr="0091323F">
        <w:rPr>
          <w:sz w:val="20"/>
          <w:szCs w:val="20"/>
        </w:rPr>
        <w:t>Suggested units are kips, inches, and ksi.</w:t>
      </w:r>
    </w:p>
    <w:p w14:paraId="797782F8" w14:textId="77777777" w:rsidR="0091323F" w:rsidRPr="0091323F" w:rsidRDefault="0091323F" w:rsidP="0091323F">
      <w:pPr>
        <w:pStyle w:val="NoSpacing"/>
        <w:numPr>
          <w:ilvl w:val="0"/>
          <w:numId w:val="49"/>
        </w:numPr>
        <w:rPr>
          <w:sz w:val="20"/>
          <w:szCs w:val="20"/>
        </w:rPr>
      </w:pPr>
      <w:r w:rsidRPr="0091323F">
        <w:rPr>
          <w:sz w:val="20"/>
          <w:szCs w:val="20"/>
        </w:rPr>
        <w:t>Do not include the self-weight of the member.</w:t>
      </w:r>
    </w:p>
    <w:p w14:paraId="78E85622" w14:textId="77777777" w:rsidR="0091323F" w:rsidRPr="0091323F" w:rsidRDefault="0091323F" w:rsidP="0091323F">
      <w:pPr>
        <w:pStyle w:val="NoSpacing"/>
        <w:rPr>
          <w:b/>
          <w:sz w:val="20"/>
          <w:szCs w:val="20"/>
        </w:rPr>
      </w:pPr>
    </w:p>
    <w:p w14:paraId="043D41E1" w14:textId="77777777" w:rsidR="0091323F" w:rsidRPr="0091323F" w:rsidRDefault="0091323F" w:rsidP="0091323F">
      <w:pPr>
        <w:pStyle w:val="NoSpacing"/>
        <w:rPr>
          <w:b/>
          <w:sz w:val="20"/>
          <w:szCs w:val="20"/>
        </w:rPr>
      </w:pPr>
      <w:r w:rsidRPr="0091323F">
        <w:rPr>
          <w:b/>
          <w:sz w:val="20"/>
          <w:szCs w:val="20"/>
        </w:rPr>
        <w:t>MASTAN2 Details</w:t>
      </w:r>
    </w:p>
    <w:p w14:paraId="3D14FB07" w14:textId="77777777" w:rsidR="0091323F" w:rsidRPr="0091323F" w:rsidRDefault="0091323F" w:rsidP="0091323F">
      <w:pPr>
        <w:pStyle w:val="NoSpacing"/>
        <w:rPr>
          <w:sz w:val="20"/>
          <w:szCs w:val="20"/>
        </w:rPr>
      </w:pPr>
      <w:r w:rsidRPr="0091323F">
        <w:rPr>
          <w:sz w:val="20"/>
          <w:szCs w:val="20"/>
        </w:rPr>
        <w:t>Per Fig. 1, the following suggestions are for those employing MASTAN2 to calculate the above computational strengths:</w:t>
      </w:r>
    </w:p>
    <w:p w14:paraId="68EF0E69" w14:textId="165E5BC9" w:rsidR="0091323F" w:rsidRPr="0091323F" w:rsidRDefault="0091323F" w:rsidP="0091323F">
      <w:pPr>
        <w:pStyle w:val="NoSpacing"/>
        <w:numPr>
          <w:ilvl w:val="0"/>
          <w:numId w:val="45"/>
        </w:numPr>
        <w:rPr>
          <w:sz w:val="20"/>
          <w:szCs w:val="20"/>
        </w:rPr>
      </w:pPr>
      <w:r w:rsidRPr="0091323F">
        <w:rPr>
          <w:sz w:val="20"/>
          <w:szCs w:val="20"/>
        </w:rPr>
        <w:t>Subdivide the member</w:t>
      </w:r>
      <w:r>
        <w:rPr>
          <w:sz w:val="20"/>
          <w:szCs w:val="20"/>
        </w:rPr>
        <w:t>s</w:t>
      </w:r>
      <w:r w:rsidRPr="0091323F">
        <w:rPr>
          <w:sz w:val="20"/>
          <w:szCs w:val="20"/>
        </w:rPr>
        <w:t xml:space="preserve"> into 8 elements.</w:t>
      </w:r>
    </w:p>
    <w:p w14:paraId="7235EFEC" w14:textId="28A3D20A" w:rsidR="00CE06A1" w:rsidRPr="00CE06A1" w:rsidRDefault="0091323F" w:rsidP="0091323F">
      <w:pPr>
        <w:pStyle w:val="NoSpacing"/>
        <w:numPr>
          <w:ilvl w:val="0"/>
          <w:numId w:val="45"/>
        </w:numPr>
        <w:rPr>
          <w:sz w:val="20"/>
          <w:szCs w:val="20"/>
        </w:rPr>
      </w:pPr>
      <w:r w:rsidRPr="0091323F">
        <w:rPr>
          <w:sz w:val="20"/>
          <w:szCs w:val="20"/>
        </w:rPr>
        <w:t xml:space="preserve">In all computational </w:t>
      </w:r>
      <w:r>
        <w:rPr>
          <w:sz w:val="20"/>
          <w:szCs w:val="20"/>
        </w:rPr>
        <w:t>analyses, t</w:t>
      </w:r>
      <w:r w:rsidRPr="0091323F">
        <w:rPr>
          <w:sz w:val="20"/>
          <w:szCs w:val="20"/>
        </w:rPr>
        <w:t xml:space="preserve">he failure load will be the product of </w:t>
      </w:r>
      <w:r>
        <w:rPr>
          <w:sz w:val="20"/>
          <w:szCs w:val="20"/>
        </w:rPr>
        <w:t>the applied force (1-kip)</w:t>
      </w:r>
      <w:r w:rsidRPr="0091323F">
        <w:rPr>
          <w:sz w:val="20"/>
          <w:szCs w:val="20"/>
        </w:rPr>
        <w:t xml:space="preserve"> and the resulting Applied Load Ratio.</w:t>
      </w:r>
    </w:p>
    <w:p w14:paraId="2FBD8547" w14:textId="77777777" w:rsidR="00CE06A1" w:rsidRDefault="00CE06A1" w:rsidP="00CE06A1">
      <w:pPr>
        <w:pStyle w:val="NoSpacing"/>
        <w:jc w:val="center"/>
        <w:rPr>
          <w:b/>
          <w:bCs/>
          <w:sz w:val="20"/>
          <w:szCs w:val="20"/>
        </w:rPr>
      </w:pPr>
    </w:p>
    <w:p w14:paraId="721AC7D5" w14:textId="5611E15D" w:rsidR="0091323F" w:rsidRPr="0091323F" w:rsidRDefault="00CE06A1" w:rsidP="00CE06A1">
      <w:pPr>
        <w:pStyle w:val="NoSpacing"/>
        <w:jc w:val="center"/>
        <w:rPr>
          <w:b/>
          <w:bCs/>
          <w:sz w:val="20"/>
          <w:szCs w:val="20"/>
        </w:rPr>
      </w:pPr>
      <w:r w:rsidRPr="00CE06A1">
        <w:rPr>
          <w:b/>
          <w:bCs/>
          <w:noProof/>
          <w:sz w:val="20"/>
          <w:szCs w:val="20"/>
        </w:rPr>
        <w:drawing>
          <wp:inline distT="0" distB="0" distL="0" distR="0" wp14:anchorId="4CC70EAA" wp14:editId="7956E89D">
            <wp:extent cx="2827431" cy="2282231"/>
            <wp:effectExtent l="0" t="0" r="508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431" cy="228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13430" w14:textId="77777777" w:rsidR="0091323F" w:rsidRPr="0091323F" w:rsidRDefault="0091323F" w:rsidP="0091323F">
      <w:pPr>
        <w:pStyle w:val="NoSpacing"/>
        <w:jc w:val="center"/>
        <w:rPr>
          <w:sz w:val="20"/>
          <w:szCs w:val="20"/>
        </w:rPr>
      </w:pPr>
      <w:r w:rsidRPr="0091323F">
        <w:rPr>
          <w:sz w:val="20"/>
          <w:szCs w:val="20"/>
        </w:rPr>
        <w:t>Figure 1.  MASTAN2 model.</w:t>
      </w:r>
    </w:p>
    <w:p w14:paraId="77C2409E" w14:textId="77777777" w:rsidR="00CE06A1" w:rsidRDefault="00CE06A1" w:rsidP="00CA3D0B">
      <w:pPr>
        <w:pStyle w:val="NoSpacing"/>
        <w:rPr>
          <w:b/>
          <w:sz w:val="20"/>
          <w:szCs w:val="20"/>
        </w:rPr>
      </w:pPr>
    </w:p>
    <w:p w14:paraId="005E4945" w14:textId="77777777" w:rsidR="00850029" w:rsidRDefault="00850029" w:rsidP="00CA3D0B">
      <w:pPr>
        <w:pStyle w:val="NoSpacing"/>
        <w:rPr>
          <w:b/>
          <w:sz w:val="20"/>
          <w:szCs w:val="20"/>
        </w:rPr>
      </w:pPr>
    </w:p>
    <w:p w14:paraId="0E94D613" w14:textId="2D756530" w:rsidR="00CA3D0B" w:rsidRPr="001D66A2" w:rsidRDefault="00CA3D0B" w:rsidP="00CA3D0B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Questions</w:t>
      </w:r>
    </w:p>
    <w:p w14:paraId="5C8043D7" w14:textId="57389E8F" w:rsidR="00FA0DD3" w:rsidRPr="001D66A2" w:rsidRDefault="00FA0DD3" w:rsidP="00580CB6">
      <w:pPr>
        <w:pStyle w:val="NoSpacing"/>
        <w:numPr>
          <w:ilvl w:val="0"/>
          <w:numId w:val="32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After recording the buckling loads (product of resulting </w:t>
      </w:r>
      <w:r w:rsidR="001B65B2" w:rsidRPr="001D66A2">
        <w:rPr>
          <w:sz w:val="20"/>
          <w:szCs w:val="20"/>
        </w:rPr>
        <w:t>applied load ratio</w:t>
      </w:r>
      <w:r w:rsidRPr="001D66A2">
        <w:rPr>
          <w:sz w:val="20"/>
          <w:szCs w:val="20"/>
        </w:rPr>
        <w:t xml:space="preserve"> and </w:t>
      </w:r>
      <w:r w:rsidR="00435DDC" w:rsidRPr="001D66A2">
        <w:rPr>
          <w:sz w:val="20"/>
          <w:szCs w:val="20"/>
        </w:rPr>
        <w:t xml:space="preserve">the </w:t>
      </w:r>
      <w:r w:rsidR="0011161F" w:rsidRPr="001D66A2">
        <w:rPr>
          <w:sz w:val="20"/>
          <w:szCs w:val="20"/>
        </w:rPr>
        <w:t xml:space="preserve">given </w:t>
      </w:r>
      <w:r w:rsidR="00435DDC" w:rsidRPr="001D66A2">
        <w:rPr>
          <w:sz w:val="20"/>
          <w:szCs w:val="20"/>
        </w:rPr>
        <w:t>axial</w:t>
      </w:r>
      <w:r w:rsidR="001B65B2" w:rsidRPr="001D66A2">
        <w:rPr>
          <w:sz w:val="20"/>
          <w:szCs w:val="20"/>
        </w:rPr>
        <w:t xml:space="preserve"> </w:t>
      </w:r>
      <w:r w:rsidRPr="001D66A2">
        <w:rPr>
          <w:sz w:val="20"/>
          <w:szCs w:val="20"/>
        </w:rPr>
        <w:t>load of 1 kip)</w:t>
      </w:r>
      <w:r w:rsidR="00B17A78" w:rsidRPr="001D66A2">
        <w:rPr>
          <w:sz w:val="20"/>
          <w:szCs w:val="20"/>
        </w:rPr>
        <w:t xml:space="preserve"> for </w:t>
      </w:r>
      <w:r w:rsidR="001B65B2" w:rsidRPr="001D66A2">
        <w:rPr>
          <w:sz w:val="20"/>
          <w:szCs w:val="20"/>
        </w:rPr>
        <w:t xml:space="preserve">each </w:t>
      </w:r>
      <w:r w:rsidR="00E527A1" w:rsidRPr="001D66A2">
        <w:rPr>
          <w:sz w:val="20"/>
          <w:szCs w:val="20"/>
        </w:rPr>
        <w:t xml:space="preserve">given </w:t>
      </w:r>
      <w:r w:rsidR="00B17A78" w:rsidRPr="001D66A2">
        <w:rPr>
          <w:sz w:val="20"/>
          <w:szCs w:val="20"/>
        </w:rPr>
        <w:t>end restraint</w:t>
      </w:r>
      <w:r w:rsidR="00682584">
        <w:rPr>
          <w:sz w:val="20"/>
          <w:szCs w:val="20"/>
        </w:rPr>
        <w:t xml:space="preserve"> in Table 1</w:t>
      </w:r>
      <w:r w:rsidRPr="001D66A2">
        <w:rPr>
          <w:sz w:val="20"/>
          <w:szCs w:val="20"/>
        </w:rPr>
        <w:t>, compare the</w:t>
      </w:r>
      <w:r w:rsidR="00435DDC" w:rsidRPr="001D66A2">
        <w:rPr>
          <w:sz w:val="20"/>
          <w:szCs w:val="20"/>
        </w:rPr>
        <w:t xml:space="preserve">se results with the </w:t>
      </w:r>
      <w:r w:rsidRPr="001D66A2">
        <w:rPr>
          <w:sz w:val="20"/>
          <w:szCs w:val="20"/>
        </w:rPr>
        <w:t>equation</w:t>
      </w:r>
      <w:r w:rsidR="00B17A78" w:rsidRPr="001D66A2"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cr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EI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KL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</m:den>
        </m:f>
      </m:oMath>
      <w:r w:rsidR="00E527A1" w:rsidRPr="001D66A2">
        <w:rPr>
          <w:rFonts w:eastAsiaTheme="minorEastAsia"/>
          <w:sz w:val="20"/>
          <w:szCs w:val="20"/>
        </w:rPr>
        <w:t xml:space="preserve"> using</w:t>
      </w:r>
      <w:r w:rsidR="000D51D8" w:rsidRPr="001D66A2">
        <w:rPr>
          <w:rFonts w:eastAsiaTheme="minorEastAsia"/>
          <w:sz w:val="20"/>
          <w:szCs w:val="20"/>
        </w:rPr>
        <w:t xml:space="preserve"> the </w:t>
      </w:r>
      <w:r w:rsidR="004A2911" w:rsidRPr="001D66A2">
        <w:rPr>
          <w:rFonts w:eastAsiaTheme="minorEastAsia"/>
          <w:sz w:val="20"/>
          <w:szCs w:val="20"/>
        </w:rPr>
        <w:t xml:space="preserve">theoretical </w:t>
      </w:r>
      <w:r w:rsidR="000D51D8" w:rsidRPr="001D66A2">
        <w:rPr>
          <w:rFonts w:eastAsiaTheme="minorEastAsia"/>
          <w:sz w:val="20"/>
          <w:szCs w:val="20"/>
        </w:rPr>
        <w:t xml:space="preserve">effective length </w:t>
      </w:r>
      <w:r w:rsidR="00E527A1" w:rsidRPr="001D66A2">
        <w:rPr>
          <w:i/>
          <w:sz w:val="20"/>
          <w:szCs w:val="20"/>
        </w:rPr>
        <w:t>K</w:t>
      </w:r>
      <w:r w:rsidR="000E0286">
        <w:rPr>
          <w:sz w:val="20"/>
          <w:szCs w:val="20"/>
        </w:rPr>
        <w:t>-</w:t>
      </w:r>
      <w:r w:rsidR="000D51D8" w:rsidRPr="001D66A2">
        <w:rPr>
          <w:rFonts w:eastAsiaTheme="minorEastAsia"/>
          <w:sz w:val="20"/>
          <w:szCs w:val="20"/>
        </w:rPr>
        <w:t xml:space="preserve">factors provided in </w:t>
      </w:r>
      <w:r w:rsidR="000D51D8" w:rsidRPr="001D66A2">
        <w:rPr>
          <w:sz w:val="20"/>
          <w:szCs w:val="20"/>
        </w:rPr>
        <w:t>Table C-A-7.1.</w:t>
      </w:r>
    </w:p>
    <w:p w14:paraId="404BBB6A" w14:textId="2EC2D739" w:rsidR="00A2697F" w:rsidRPr="001D66A2" w:rsidRDefault="00C653E7" w:rsidP="00580CB6">
      <w:pPr>
        <w:pStyle w:val="NoSpacing"/>
        <w:numPr>
          <w:ilvl w:val="0"/>
          <w:numId w:val="32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Similarly, back-calculate </w:t>
      </w:r>
      <w:r w:rsidR="0011161F" w:rsidRPr="001D66A2">
        <w:rPr>
          <w:sz w:val="20"/>
          <w:szCs w:val="20"/>
        </w:rPr>
        <w:t xml:space="preserve">and compare </w:t>
      </w:r>
      <w:r w:rsidRPr="001D66A2">
        <w:rPr>
          <w:sz w:val="20"/>
          <w:szCs w:val="20"/>
        </w:rPr>
        <w:t xml:space="preserve">the effective </w:t>
      </w:r>
      <w:r w:rsidR="000D51D8" w:rsidRPr="001D66A2">
        <w:rPr>
          <w:sz w:val="20"/>
          <w:szCs w:val="20"/>
        </w:rPr>
        <w:t xml:space="preserve">length </w:t>
      </w:r>
      <w:r w:rsidR="000E0286" w:rsidRPr="000E0286">
        <w:rPr>
          <w:i/>
          <w:sz w:val="20"/>
          <w:szCs w:val="20"/>
        </w:rPr>
        <w:t>K</w:t>
      </w:r>
      <w:r w:rsidR="000E0286">
        <w:rPr>
          <w:sz w:val="20"/>
          <w:szCs w:val="20"/>
        </w:rPr>
        <w:t>-</w:t>
      </w:r>
      <w:r w:rsidR="000D51D8" w:rsidRPr="001D66A2">
        <w:rPr>
          <w:sz w:val="20"/>
          <w:szCs w:val="20"/>
        </w:rPr>
        <w:t xml:space="preserve">factor </w:t>
      </w:r>
      <w:r w:rsidR="004A2911" w:rsidRPr="001D66A2">
        <w:rPr>
          <w:sz w:val="20"/>
          <w:szCs w:val="20"/>
        </w:rPr>
        <w:t xml:space="preserve">for each end restraint using </w:t>
      </w:r>
      <m:oMath>
        <m:r>
          <w:rPr>
            <w:rFonts w:ascii="Cambria Math" w:hAnsi="Cambria Math"/>
            <w:sz w:val="20"/>
            <w:szCs w:val="20"/>
          </w:rPr>
          <m:t>K=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L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20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EI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cr</m:t>
                    </m:r>
                  </m:sub>
                </m:sSub>
              </m:den>
            </m:f>
          </m:e>
        </m:rad>
      </m:oMath>
      <w:r w:rsidR="004A2911" w:rsidRPr="001D66A2">
        <w:rPr>
          <w:sz w:val="20"/>
          <w:szCs w:val="20"/>
        </w:rPr>
        <w:t xml:space="preserve">, where </w:t>
      </w:r>
      <w:r w:rsidR="004A2911" w:rsidRPr="001D66A2">
        <w:rPr>
          <w:i/>
          <w:sz w:val="20"/>
          <w:szCs w:val="20"/>
        </w:rPr>
        <w:t>P</w:t>
      </w:r>
      <w:r w:rsidR="004A2911" w:rsidRPr="001D66A2">
        <w:rPr>
          <w:i/>
          <w:sz w:val="20"/>
          <w:szCs w:val="20"/>
          <w:vertAlign w:val="subscript"/>
        </w:rPr>
        <w:t>cr</w:t>
      </w:r>
      <w:r w:rsidR="004A2911" w:rsidRPr="001D66A2">
        <w:rPr>
          <w:sz w:val="20"/>
          <w:szCs w:val="20"/>
        </w:rPr>
        <w:t xml:space="preserve"> is </w:t>
      </w:r>
      <w:r w:rsidR="009C024F" w:rsidRPr="001D66A2">
        <w:rPr>
          <w:sz w:val="20"/>
          <w:szCs w:val="20"/>
        </w:rPr>
        <w:t xml:space="preserve">each of </w:t>
      </w:r>
      <w:r w:rsidR="001B65B2" w:rsidRPr="001D66A2">
        <w:rPr>
          <w:sz w:val="20"/>
          <w:szCs w:val="20"/>
        </w:rPr>
        <w:t xml:space="preserve">the </w:t>
      </w:r>
      <w:r w:rsidR="000D51D8" w:rsidRPr="001D66A2">
        <w:rPr>
          <w:sz w:val="20"/>
          <w:szCs w:val="20"/>
        </w:rPr>
        <w:t>column</w:t>
      </w:r>
      <w:r w:rsidR="001B65B2" w:rsidRPr="001D66A2">
        <w:rPr>
          <w:sz w:val="20"/>
          <w:szCs w:val="20"/>
        </w:rPr>
        <w:t>’</w:t>
      </w:r>
      <w:r w:rsidR="000D51D8" w:rsidRPr="001D66A2">
        <w:rPr>
          <w:sz w:val="20"/>
          <w:szCs w:val="20"/>
        </w:rPr>
        <w:t>s</w:t>
      </w:r>
      <w:r w:rsidR="004A2911" w:rsidRPr="001D66A2">
        <w:rPr>
          <w:sz w:val="20"/>
          <w:szCs w:val="20"/>
        </w:rPr>
        <w:t xml:space="preserve"> critical load</w:t>
      </w:r>
      <w:r w:rsidR="009C024F" w:rsidRPr="001D66A2">
        <w:rPr>
          <w:sz w:val="20"/>
          <w:szCs w:val="20"/>
        </w:rPr>
        <w:t>s</w:t>
      </w:r>
      <w:r w:rsidR="004A2911" w:rsidRPr="001D66A2">
        <w:rPr>
          <w:sz w:val="20"/>
          <w:szCs w:val="20"/>
        </w:rPr>
        <w:t xml:space="preserve"> based on </w:t>
      </w:r>
      <w:r w:rsidR="001B65B2" w:rsidRPr="001D66A2">
        <w:rPr>
          <w:sz w:val="20"/>
          <w:szCs w:val="20"/>
        </w:rPr>
        <w:t xml:space="preserve">computational </w:t>
      </w:r>
      <w:r w:rsidR="004A2911" w:rsidRPr="001D66A2">
        <w:rPr>
          <w:sz w:val="20"/>
          <w:szCs w:val="20"/>
        </w:rPr>
        <w:t>analysis</w:t>
      </w:r>
      <w:r w:rsidR="009C024F" w:rsidRPr="001D66A2">
        <w:rPr>
          <w:sz w:val="20"/>
          <w:szCs w:val="20"/>
        </w:rPr>
        <w:t>.</w:t>
      </w:r>
    </w:p>
    <w:p w14:paraId="6A9BB3EC" w14:textId="4F25FDE8" w:rsidR="000329E8" w:rsidRPr="001D66A2" w:rsidRDefault="000329E8" w:rsidP="00580CB6">
      <w:pPr>
        <w:pStyle w:val="NoSpacing"/>
        <w:numPr>
          <w:ilvl w:val="0"/>
          <w:numId w:val="32"/>
        </w:numPr>
        <w:rPr>
          <w:sz w:val="20"/>
          <w:szCs w:val="20"/>
        </w:rPr>
      </w:pPr>
      <w:r w:rsidRPr="001D66A2">
        <w:rPr>
          <w:sz w:val="20"/>
          <w:szCs w:val="20"/>
        </w:rPr>
        <w:t>Sort the buckling loads from smallest to largest.  What can be concluded regarding the degree of end restraint in relation to the magnitude of column buckling load?</w:t>
      </w:r>
    </w:p>
    <w:p w14:paraId="3461B1CB" w14:textId="070C6D3A" w:rsidR="00A2697F" w:rsidRPr="001D66A2" w:rsidRDefault="00C1220E" w:rsidP="00580CB6">
      <w:pPr>
        <w:pStyle w:val="NoSpacing"/>
        <w:numPr>
          <w:ilvl w:val="0"/>
          <w:numId w:val="32"/>
        </w:numPr>
        <w:rPr>
          <w:sz w:val="20"/>
          <w:szCs w:val="20"/>
        </w:rPr>
      </w:pPr>
      <w:r w:rsidRPr="001D66A2">
        <w:rPr>
          <w:sz w:val="20"/>
          <w:szCs w:val="20"/>
        </w:rPr>
        <w:t>In reviewing the 10 buckling modes, a</w:t>
      </w:r>
      <w:r w:rsidR="00F13D72" w:rsidRPr="001D66A2">
        <w:rPr>
          <w:sz w:val="20"/>
          <w:szCs w:val="20"/>
        </w:rPr>
        <w:t xml:space="preserve">re </w:t>
      </w:r>
      <w:r w:rsidR="00706189" w:rsidRPr="001D66A2">
        <w:rPr>
          <w:sz w:val="20"/>
          <w:szCs w:val="20"/>
        </w:rPr>
        <w:t>higher</w:t>
      </w:r>
      <w:r w:rsidRPr="001D66A2">
        <w:rPr>
          <w:sz w:val="20"/>
          <w:szCs w:val="20"/>
        </w:rPr>
        <w:t xml:space="preserve"> buckling modes shown for </w:t>
      </w:r>
      <w:r w:rsidR="00E527A1" w:rsidRPr="001D66A2">
        <w:rPr>
          <w:sz w:val="20"/>
          <w:szCs w:val="20"/>
        </w:rPr>
        <w:t xml:space="preserve">any of </w:t>
      </w:r>
      <w:r w:rsidRPr="001D66A2">
        <w:rPr>
          <w:sz w:val="20"/>
          <w:szCs w:val="20"/>
        </w:rPr>
        <w:t xml:space="preserve">the columns?  Why are these </w:t>
      </w:r>
      <w:r w:rsidR="00706189" w:rsidRPr="001D66A2">
        <w:rPr>
          <w:sz w:val="20"/>
          <w:szCs w:val="20"/>
        </w:rPr>
        <w:t xml:space="preserve">modes </w:t>
      </w:r>
      <w:r w:rsidR="0011161F" w:rsidRPr="001D66A2">
        <w:rPr>
          <w:sz w:val="20"/>
          <w:szCs w:val="20"/>
        </w:rPr>
        <w:t>of little to no interest</w:t>
      </w:r>
      <w:r w:rsidR="00706189" w:rsidRPr="001D66A2">
        <w:rPr>
          <w:sz w:val="20"/>
          <w:szCs w:val="20"/>
        </w:rPr>
        <w:t>?</w:t>
      </w:r>
      <w:r w:rsidR="0011161F" w:rsidRPr="001D66A2">
        <w:rPr>
          <w:sz w:val="20"/>
          <w:szCs w:val="20"/>
        </w:rPr>
        <w:t xml:space="preserve">  When might they be useful?</w:t>
      </w:r>
    </w:p>
    <w:p w14:paraId="16AD3BF5" w14:textId="12BDA5DA" w:rsidR="0046165D" w:rsidRDefault="001F35E6" w:rsidP="00580CB6">
      <w:pPr>
        <w:pStyle w:val="NoSpacing"/>
        <w:numPr>
          <w:ilvl w:val="0"/>
          <w:numId w:val="32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Comment on how </w:t>
      </w:r>
      <w:r w:rsidR="004A2911" w:rsidRPr="001D66A2">
        <w:rPr>
          <w:sz w:val="20"/>
          <w:szCs w:val="20"/>
        </w:rPr>
        <w:t xml:space="preserve">the </w:t>
      </w:r>
      <w:r w:rsidRPr="001D66A2">
        <w:rPr>
          <w:sz w:val="20"/>
          <w:szCs w:val="20"/>
        </w:rPr>
        <w:t xml:space="preserve">actual </w:t>
      </w:r>
      <w:r w:rsidR="00E527A1" w:rsidRPr="001D66A2">
        <w:rPr>
          <w:sz w:val="20"/>
          <w:szCs w:val="20"/>
        </w:rPr>
        <w:t>end restraint may</w:t>
      </w:r>
      <w:r w:rsidRPr="001D66A2">
        <w:rPr>
          <w:sz w:val="20"/>
          <w:szCs w:val="20"/>
        </w:rPr>
        <w:t xml:space="preserve"> differ from the idealized </w:t>
      </w:r>
      <w:r w:rsidR="00E527A1" w:rsidRPr="001D66A2">
        <w:rPr>
          <w:sz w:val="20"/>
          <w:szCs w:val="20"/>
        </w:rPr>
        <w:t>ones given</w:t>
      </w:r>
      <w:r w:rsidR="00A2697F" w:rsidRPr="001D66A2">
        <w:rPr>
          <w:sz w:val="20"/>
          <w:szCs w:val="20"/>
        </w:rPr>
        <w:t>.</w:t>
      </w:r>
      <w:r w:rsidR="00C624AF" w:rsidRPr="001D66A2">
        <w:rPr>
          <w:sz w:val="20"/>
          <w:szCs w:val="20"/>
        </w:rPr>
        <w:t xml:space="preserve"> </w:t>
      </w:r>
      <w:r w:rsidR="00A2697F" w:rsidRPr="001D66A2">
        <w:rPr>
          <w:sz w:val="20"/>
          <w:szCs w:val="20"/>
        </w:rPr>
        <w:t xml:space="preserve"> </w:t>
      </w:r>
      <w:r w:rsidR="00C624AF" w:rsidRPr="001D66A2">
        <w:rPr>
          <w:sz w:val="20"/>
          <w:szCs w:val="20"/>
        </w:rPr>
        <w:t xml:space="preserve">Why is your response difficult to model using computational analysis?  </w:t>
      </w:r>
      <w:r w:rsidR="00A2697F" w:rsidRPr="001D66A2">
        <w:rPr>
          <w:sz w:val="20"/>
          <w:szCs w:val="20"/>
        </w:rPr>
        <w:t xml:space="preserve">How would these differences impact the </w:t>
      </w:r>
      <w:r w:rsidR="00A2697F" w:rsidRPr="001D66A2">
        <w:rPr>
          <w:i/>
          <w:sz w:val="20"/>
          <w:szCs w:val="20"/>
        </w:rPr>
        <w:t>K</w:t>
      </w:r>
      <w:r w:rsidR="000E0286">
        <w:rPr>
          <w:sz w:val="20"/>
          <w:szCs w:val="20"/>
        </w:rPr>
        <w:t>-factors</w:t>
      </w:r>
      <w:r w:rsidR="00E527A1" w:rsidRPr="001D66A2">
        <w:rPr>
          <w:sz w:val="20"/>
          <w:szCs w:val="20"/>
        </w:rPr>
        <w:t xml:space="preserve"> and in turn, the corresponding critical loads</w:t>
      </w:r>
      <w:r w:rsidR="00A2697F" w:rsidRPr="001D66A2">
        <w:rPr>
          <w:sz w:val="20"/>
          <w:szCs w:val="20"/>
        </w:rPr>
        <w:t>?</w:t>
      </w:r>
    </w:p>
    <w:p w14:paraId="4230A702" w14:textId="77777777" w:rsidR="00F62616" w:rsidRDefault="00F62616" w:rsidP="0046165D">
      <w:pPr>
        <w:pStyle w:val="NoSpacing"/>
        <w:rPr>
          <w:sz w:val="20"/>
          <w:szCs w:val="20"/>
        </w:rPr>
      </w:pPr>
    </w:p>
    <w:p w14:paraId="543ABBE8" w14:textId="128472D7" w:rsidR="00682584" w:rsidRPr="0046165D" w:rsidRDefault="00682584" w:rsidP="00682584">
      <w:pPr>
        <w:pStyle w:val="NoSpacing"/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Table 1.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623"/>
        <w:gridCol w:w="1534"/>
        <w:gridCol w:w="1141"/>
        <w:gridCol w:w="1142"/>
        <w:gridCol w:w="1142"/>
        <w:gridCol w:w="1142"/>
        <w:gridCol w:w="1142"/>
        <w:gridCol w:w="1142"/>
        <w:gridCol w:w="730"/>
      </w:tblGrid>
      <w:tr w:rsidR="00682584" w:rsidRPr="0046165D" w14:paraId="2BB8D176" w14:textId="77777777" w:rsidTr="004542F0">
        <w:tc>
          <w:tcPr>
            <w:tcW w:w="2178" w:type="dxa"/>
            <w:gridSpan w:val="2"/>
          </w:tcPr>
          <w:p w14:paraId="28109FE9" w14:textId="4CBD5686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sz w:val="20"/>
                <w:szCs w:val="20"/>
              </w:rPr>
              <w:t>Column</w:t>
            </w:r>
          </w:p>
        </w:tc>
        <w:tc>
          <w:tcPr>
            <w:tcW w:w="1152" w:type="dxa"/>
            <w:vMerge w:val="restart"/>
          </w:tcPr>
          <w:p w14:paraId="68CFFBCC" w14:textId="77777777" w:rsidR="00682584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Theoretical</w:t>
            </w:r>
          </w:p>
          <w:p w14:paraId="20D36F36" w14:textId="0ADE3226" w:rsidR="00682584" w:rsidRPr="0046165D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  <w:vMerge w:val="restart"/>
          </w:tcPr>
          <w:p w14:paraId="33CAA7AC" w14:textId="3ED6737A" w:rsidR="00682584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</w:p>
          <w:p w14:paraId="6A5E1B9E" w14:textId="008F4FC0" w:rsidR="00682584" w:rsidRPr="0046165D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  <w:vMerge w:val="restart"/>
          </w:tcPr>
          <w:p w14:paraId="736CDD69" w14:textId="2399EB7C" w:rsidR="00682584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14:paraId="375674A9" w14:textId="37D11107" w:rsidR="00682584" w:rsidRPr="0046165D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difference</w:t>
            </w:r>
          </w:p>
        </w:tc>
        <w:tc>
          <w:tcPr>
            <w:tcW w:w="1152" w:type="dxa"/>
            <w:vMerge w:val="restart"/>
          </w:tcPr>
          <w:p w14:paraId="719FB59F" w14:textId="77777777" w:rsidR="00682584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Theoretical</w:t>
            </w:r>
          </w:p>
          <w:p w14:paraId="0AC63F54" w14:textId="7F11D1C4" w:rsidR="00682584" w:rsidRPr="0046165D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</w:t>
            </w:r>
          </w:p>
        </w:tc>
        <w:tc>
          <w:tcPr>
            <w:tcW w:w="1152" w:type="dxa"/>
            <w:vMerge w:val="restart"/>
          </w:tcPr>
          <w:p w14:paraId="0B92F19D" w14:textId="3790F104" w:rsidR="00682584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</w:p>
          <w:p w14:paraId="72783B60" w14:textId="1E5829F1" w:rsidR="00682584" w:rsidRPr="0046165D" w:rsidRDefault="00682584" w:rsidP="004616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</w:t>
            </w:r>
          </w:p>
        </w:tc>
        <w:tc>
          <w:tcPr>
            <w:tcW w:w="1152" w:type="dxa"/>
            <w:vMerge w:val="restart"/>
          </w:tcPr>
          <w:p w14:paraId="3863F064" w14:textId="77777777" w:rsidR="00682584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14:paraId="4EBF748A" w14:textId="6D09EF3D" w:rsidR="00682584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difference</w:t>
            </w:r>
          </w:p>
        </w:tc>
        <w:tc>
          <w:tcPr>
            <w:tcW w:w="736" w:type="dxa"/>
            <w:vMerge w:val="restart"/>
          </w:tcPr>
          <w:p w14:paraId="312BD8DE" w14:textId="77777777" w:rsidR="00682584" w:rsidRDefault="00682584" w:rsidP="009C3E2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</w:t>
            </w:r>
          </w:p>
          <w:p w14:paraId="098AC51E" w14:textId="746A1464" w:rsidR="00682584" w:rsidRPr="0046165D" w:rsidRDefault="00682584" w:rsidP="009C3E2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Order</w:t>
            </w:r>
          </w:p>
        </w:tc>
      </w:tr>
      <w:tr w:rsidR="00682584" w:rsidRPr="0046165D" w14:paraId="58F883F4" w14:textId="77777777" w:rsidTr="004542F0">
        <w:tc>
          <w:tcPr>
            <w:tcW w:w="628" w:type="dxa"/>
          </w:tcPr>
          <w:p w14:paraId="6C48733B" w14:textId="7A2B9117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</w:t>
            </w:r>
          </w:p>
        </w:tc>
        <w:tc>
          <w:tcPr>
            <w:tcW w:w="1550" w:type="dxa"/>
          </w:tcPr>
          <w:p w14:paraId="327996B2" w14:textId="1C7E26FC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Restraints</w:t>
            </w:r>
          </w:p>
        </w:tc>
        <w:tc>
          <w:tcPr>
            <w:tcW w:w="1152" w:type="dxa"/>
            <w:vMerge/>
          </w:tcPr>
          <w:p w14:paraId="7D96F2AB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14:paraId="22E87951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14:paraId="4B82E12E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14:paraId="770589DC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14:paraId="2A86A932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14:paraId="280750A6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</w:tcPr>
          <w:p w14:paraId="0B15A8C7" w14:textId="21E6A2FC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25B7F389" w14:textId="77777777" w:rsidTr="004542F0">
        <w:tc>
          <w:tcPr>
            <w:tcW w:w="628" w:type="dxa"/>
          </w:tcPr>
          <w:p w14:paraId="50EB012E" w14:textId="7202B9D6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550" w:type="dxa"/>
          </w:tcPr>
          <w:p w14:paraId="62991DDF" w14:textId="0235EC03" w:rsidR="00682584" w:rsidRPr="0046165D" w:rsidRDefault="004542F0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fixed—</w:t>
            </w:r>
            <w:r w:rsidR="00682584">
              <w:rPr>
                <w:sz w:val="20"/>
                <w:szCs w:val="20"/>
              </w:rPr>
              <w:t>fixed</w:t>
            </w:r>
          </w:p>
        </w:tc>
        <w:tc>
          <w:tcPr>
            <w:tcW w:w="1152" w:type="dxa"/>
          </w:tcPr>
          <w:p w14:paraId="271BDDE3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31C1A30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825A3A4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7039C52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090FC82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47E8722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3533F7D8" w14:textId="3BADC580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46EBBFE1" w14:textId="77777777" w:rsidTr="004542F0">
        <w:tc>
          <w:tcPr>
            <w:tcW w:w="628" w:type="dxa"/>
          </w:tcPr>
          <w:p w14:paraId="1D068EFC" w14:textId="46D4FB44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550" w:type="dxa"/>
          </w:tcPr>
          <w:p w14:paraId="1FA82693" w14:textId="5D3ACC26" w:rsidR="00682584" w:rsidRPr="0046165D" w:rsidRDefault="004542F0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fixed—</w:t>
            </w:r>
            <w:r w:rsidR="00682584">
              <w:rPr>
                <w:sz w:val="20"/>
                <w:szCs w:val="20"/>
              </w:rPr>
              <w:t>pinned</w:t>
            </w:r>
          </w:p>
        </w:tc>
        <w:tc>
          <w:tcPr>
            <w:tcW w:w="1152" w:type="dxa"/>
          </w:tcPr>
          <w:p w14:paraId="10DCA4C1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BA9414C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73B01DD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DC33B80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5CE6A86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282A9C0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3AD98C65" w14:textId="5512EFB4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418256E0" w14:textId="77777777" w:rsidTr="004542F0">
        <w:tc>
          <w:tcPr>
            <w:tcW w:w="628" w:type="dxa"/>
          </w:tcPr>
          <w:p w14:paraId="5D2CF5A0" w14:textId="60E04CD1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550" w:type="dxa"/>
          </w:tcPr>
          <w:p w14:paraId="20D7E1A1" w14:textId="5751FBED" w:rsidR="00682584" w:rsidRPr="0046165D" w:rsidRDefault="001F7589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pinned—pinned</w:t>
            </w:r>
          </w:p>
        </w:tc>
        <w:tc>
          <w:tcPr>
            <w:tcW w:w="1152" w:type="dxa"/>
          </w:tcPr>
          <w:p w14:paraId="14F7A38D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B4A0554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1BB4EB1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9C6BAC8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7F88CBC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F15110E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653BC85C" w14:textId="79B71106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56A589F3" w14:textId="77777777" w:rsidTr="004542F0">
        <w:tc>
          <w:tcPr>
            <w:tcW w:w="628" w:type="dxa"/>
          </w:tcPr>
          <w:p w14:paraId="404BA6F7" w14:textId="17EFE8D0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550" w:type="dxa"/>
          </w:tcPr>
          <w:p w14:paraId="31513889" w14:textId="1BFE74BA" w:rsidR="00682584" w:rsidRPr="0046165D" w:rsidRDefault="001F7589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fixed—no rot.</w:t>
            </w:r>
          </w:p>
        </w:tc>
        <w:tc>
          <w:tcPr>
            <w:tcW w:w="1152" w:type="dxa"/>
          </w:tcPr>
          <w:p w14:paraId="13F29B57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D3E1B97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2B55888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21229BA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DD7B9FC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2474C49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1806C44D" w14:textId="663C4C48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1736314A" w14:textId="77777777" w:rsidTr="004542F0">
        <w:tc>
          <w:tcPr>
            <w:tcW w:w="628" w:type="dxa"/>
          </w:tcPr>
          <w:p w14:paraId="27AA1029" w14:textId="69C322D7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550" w:type="dxa"/>
          </w:tcPr>
          <w:p w14:paraId="423AC96A" w14:textId="203E3FE2" w:rsidR="00682584" w:rsidRPr="0046165D" w:rsidRDefault="004542F0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fixed—</w:t>
            </w:r>
            <w:r w:rsidR="00682584">
              <w:rPr>
                <w:sz w:val="20"/>
                <w:szCs w:val="20"/>
              </w:rPr>
              <w:t>free</w:t>
            </w:r>
          </w:p>
        </w:tc>
        <w:tc>
          <w:tcPr>
            <w:tcW w:w="1152" w:type="dxa"/>
          </w:tcPr>
          <w:p w14:paraId="644DBD26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55E4C40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D9FE6E0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A68FEFB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90ADAB3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4961E528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0074ADA5" w14:textId="74465619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  <w:tr w:rsidR="00682584" w:rsidRPr="0046165D" w14:paraId="04DB0F1A" w14:textId="77777777" w:rsidTr="004542F0">
        <w:tc>
          <w:tcPr>
            <w:tcW w:w="628" w:type="dxa"/>
          </w:tcPr>
          <w:p w14:paraId="150DAD04" w14:textId="7A317AE6" w:rsidR="00682584" w:rsidRPr="0046165D" w:rsidRDefault="00682584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550" w:type="dxa"/>
          </w:tcPr>
          <w:p w14:paraId="48B33C38" w14:textId="65888BCF" w:rsidR="00682584" w:rsidRPr="0046165D" w:rsidRDefault="004542F0" w:rsidP="0068258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pinned—</w:t>
            </w:r>
            <w:r w:rsidR="00682584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 xml:space="preserve"> </w:t>
            </w:r>
            <w:r w:rsidR="00682584">
              <w:rPr>
                <w:sz w:val="20"/>
                <w:szCs w:val="20"/>
              </w:rPr>
              <w:t>rot.</w:t>
            </w:r>
          </w:p>
        </w:tc>
        <w:tc>
          <w:tcPr>
            <w:tcW w:w="1152" w:type="dxa"/>
          </w:tcPr>
          <w:p w14:paraId="1F1A16A9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46E4192D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7A6ADA3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0601B56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20572E8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DABFF44" w14:textId="77777777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6" w:type="dxa"/>
          </w:tcPr>
          <w:p w14:paraId="3615FEC1" w14:textId="4BA114E9" w:rsidR="00682584" w:rsidRPr="0046165D" w:rsidRDefault="00682584" w:rsidP="002B5F27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409E5B9D" w14:textId="77777777" w:rsidR="002B5F27" w:rsidRDefault="002B5F27" w:rsidP="002B5F27">
      <w:pPr>
        <w:pStyle w:val="NoSpacing"/>
        <w:rPr>
          <w:b/>
          <w:sz w:val="20"/>
          <w:szCs w:val="20"/>
        </w:rPr>
      </w:pPr>
    </w:p>
    <w:p w14:paraId="3ADD19B0" w14:textId="77777777" w:rsidR="00850029" w:rsidRDefault="00850029" w:rsidP="002B5F27">
      <w:pPr>
        <w:pStyle w:val="NoSpacing"/>
        <w:rPr>
          <w:b/>
          <w:sz w:val="20"/>
          <w:szCs w:val="20"/>
        </w:rPr>
      </w:pPr>
    </w:p>
    <w:p w14:paraId="63BD47AC" w14:textId="77777777" w:rsidR="00850029" w:rsidRDefault="00850029" w:rsidP="002B5F27">
      <w:pPr>
        <w:pStyle w:val="NoSpacing"/>
        <w:rPr>
          <w:b/>
          <w:sz w:val="20"/>
          <w:szCs w:val="20"/>
        </w:rPr>
      </w:pPr>
    </w:p>
    <w:p w14:paraId="092E7AEA" w14:textId="05CF565D" w:rsidR="002B5F27" w:rsidRPr="001D66A2" w:rsidRDefault="002B5F27" w:rsidP="002B5F27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lastRenderedPageBreak/>
        <w:t>More Fun</w:t>
      </w:r>
      <w:r w:rsidR="00C624AF" w:rsidRPr="001D66A2">
        <w:rPr>
          <w:b/>
          <w:sz w:val="20"/>
          <w:szCs w:val="20"/>
        </w:rPr>
        <w:t xml:space="preserve"> with Computational Analysis</w:t>
      </w:r>
      <w:r w:rsidRPr="001D66A2">
        <w:rPr>
          <w:b/>
          <w:sz w:val="20"/>
          <w:szCs w:val="20"/>
        </w:rPr>
        <w:t>!</w:t>
      </w:r>
    </w:p>
    <w:p w14:paraId="572E16A2" w14:textId="10A30E1C" w:rsidR="002B5F27" w:rsidRPr="001D66A2" w:rsidRDefault="000329E8" w:rsidP="002B5F27">
      <w:pPr>
        <w:pStyle w:val="NoSpacing"/>
        <w:numPr>
          <w:ilvl w:val="0"/>
          <w:numId w:val="43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At the </w:t>
      </w:r>
      <w:r w:rsidR="00DA28CA" w:rsidRPr="001D66A2">
        <w:rPr>
          <w:sz w:val="20"/>
          <w:szCs w:val="20"/>
        </w:rPr>
        <w:t xml:space="preserve">top and bottom of the </w:t>
      </w:r>
      <w:r w:rsidRPr="001D66A2">
        <w:rPr>
          <w:sz w:val="20"/>
          <w:szCs w:val="20"/>
        </w:rPr>
        <w:t>Euler c</w:t>
      </w:r>
      <w:r w:rsidR="00E3208F" w:rsidRPr="001D66A2">
        <w:rPr>
          <w:sz w:val="20"/>
          <w:szCs w:val="20"/>
        </w:rPr>
        <w:t>olumn (pi</w:t>
      </w:r>
      <w:r w:rsidR="00DA28CA" w:rsidRPr="001D66A2">
        <w:rPr>
          <w:sz w:val="20"/>
          <w:szCs w:val="20"/>
        </w:rPr>
        <w:t xml:space="preserve">nned at </w:t>
      </w:r>
      <w:r w:rsidR="00C873D9">
        <w:rPr>
          <w:sz w:val="20"/>
          <w:szCs w:val="20"/>
        </w:rPr>
        <w:t xml:space="preserve">the </w:t>
      </w:r>
      <w:r w:rsidR="00DA28CA" w:rsidRPr="001D66A2">
        <w:rPr>
          <w:sz w:val="20"/>
          <w:szCs w:val="20"/>
        </w:rPr>
        <w:t>bottom</w:t>
      </w:r>
      <w:r w:rsidR="00172C02" w:rsidRPr="001D66A2">
        <w:rPr>
          <w:sz w:val="20"/>
          <w:szCs w:val="20"/>
        </w:rPr>
        <w:t xml:space="preserve"> and </w:t>
      </w:r>
      <w:r w:rsidR="00DA28CA" w:rsidRPr="001D66A2">
        <w:rPr>
          <w:sz w:val="20"/>
          <w:szCs w:val="20"/>
        </w:rPr>
        <w:t>roller at the top</w:t>
      </w:r>
      <w:r w:rsidR="00C873D9">
        <w:rPr>
          <w:sz w:val="20"/>
          <w:szCs w:val="20"/>
        </w:rPr>
        <w:t>), provide</w:t>
      </w:r>
      <w:r w:rsidR="00172C02" w:rsidRPr="001D66A2">
        <w:rPr>
          <w:sz w:val="20"/>
          <w:szCs w:val="20"/>
        </w:rPr>
        <w:t xml:space="preserve"> </w:t>
      </w:r>
      <w:r w:rsidR="00DF5112">
        <w:rPr>
          <w:sz w:val="20"/>
          <w:szCs w:val="20"/>
        </w:rPr>
        <w:t>additional 10</w:t>
      </w:r>
      <w:r w:rsidR="00DA28CA" w:rsidRPr="001D66A2">
        <w:rPr>
          <w:sz w:val="20"/>
          <w:szCs w:val="20"/>
        </w:rPr>
        <w:t xml:space="preserve">-ft long </w:t>
      </w:r>
      <w:r w:rsidR="009C024F" w:rsidRPr="001D66A2">
        <w:rPr>
          <w:sz w:val="20"/>
          <w:szCs w:val="20"/>
        </w:rPr>
        <w:t xml:space="preserve">horizontal </w:t>
      </w:r>
      <w:r w:rsidR="00DA28CA" w:rsidRPr="001D66A2">
        <w:rPr>
          <w:sz w:val="20"/>
          <w:szCs w:val="20"/>
        </w:rPr>
        <w:t>steel beams</w:t>
      </w:r>
      <w:r w:rsidR="00C873D9">
        <w:rPr>
          <w:sz w:val="20"/>
          <w:szCs w:val="20"/>
        </w:rPr>
        <w:t xml:space="preserve"> to the right of the column</w:t>
      </w:r>
      <w:r w:rsidR="00172C02" w:rsidRPr="001D66A2">
        <w:rPr>
          <w:sz w:val="20"/>
          <w:szCs w:val="20"/>
        </w:rPr>
        <w:t xml:space="preserve">.  Provide a </w:t>
      </w:r>
      <w:r w:rsidR="009C024F" w:rsidRPr="001D66A2">
        <w:rPr>
          <w:sz w:val="20"/>
          <w:szCs w:val="20"/>
        </w:rPr>
        <w:t>roller (vertical restraint</w:t>
      </w:r>
      <w:r w:rsidR="00DA28CA" w:rsidRPr="001D66A2">
        <w:rPr>
          <w:sz w:val="20"/>
          <w:szCs w:val="20"/>
        </w:rPr>
        <w:t xml:space="preserve">) </w:t>
      </w:r>
      <w:r w:rsidR="00172C02" w:rsidRPr="001D66A2">
        <w:rPr>
          <w:sz w:val="20"/>
          <w:szCs w:val="20"/>
        </w:rPr>
        <w:t>at the free end</w:t>
      </w:r>
      <w:r w:rsidR="00DA28CA" w:rsidRPr="001D66A2">
        <w:rPr>
          <w:sz w:val="20"/>
          <w:szCs w:val="20"/>
        </w:rPr>
        <w:t>s</w:t>
      </w:r>
      <w:r w:rsidR="00172C02" w:rsidRPr="001D66A2">
        <w:rPr>
          <w:sz w:val="20"/>
          <w:szCs w:val="20"/>
        </w:rPr>
        <w:t xml:space="preserve"> of the beam</w:t>
      </w:r>
      <w:r w:rsidR="00DA28CA" w:rsidRPr="001D66A2">
        <w:rPr>
          <w:sz w:val="20"/>
          <w:szCs w:val="20"/>
        </w:rPr>
        <w:t>s</w:t>
      </w:r>
      <w:r w:rsidR="00172C02" w:rsidRPr="001D66A2">
        <w:rPr>
          <w:sz w:val="20"/>
          <w:szCs w:val="20"/>
        </w:rPr>
        <w:t>.</w:t>
      </w:r>
    </w:p>
    <w:p w14:paraId="711336E9" w14:textId="72EB819F" w:rsidR="002B5F27" w:rsidRPr="001D66A2" w:rsidRDefault="00172C02" w:rsidP="00172C02">
      <w:pPr>
        <w:pStyle w:val="NoSpacing"/>
        <w:numPr>
          <w:ilvl w:val="1"/>
          <w:numId w:val="43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Using the same </w:t>
      </w:r>
      <w:r w:rsidR="00C60DD4" w:rsidRPr="001D66A2">
        <w:rPr>
          <w:sz w:val="20"/>
          <w:szCs w:val="20"/>
        </w:rPr>
        <w:t>bending moment of inertia (</w:t>
      </w:r>
      <w:r w:rsidR="00C60DD4" w:rsidRPr="001D66A2">
        <w:rPr>
          <w:i/>
          <w:sz w:val="20"/>
          <w:szCs w:val="20"/>
        </w:rPr>
        <w:t>I</w:t>
      </w:r>
      <w:r w:rsidR="00C60DD4" w:rsidRPr="001D66A2">
        <w:rPr>
          <w:sz w:val="20"/>
          <w:szCs w:val="20"/>
        </w:rPr>
        <w:t>)</w:t>
      </w:r>
      <w:r w:rsidRPr="001D66A2">
        <w:rPr>
          <w:sz w:val="20"/>
          <w:szCs w:val="20"/>
        </w:rPr>
        <w:t xml:space="preserve"> for both</w:t>
      </w:r>
      <w:r w:rsidR="00C60DD4" w:rsidRPr="001D66A2">
        <w:rPr>
          <w:sz w:val="20"/>
          <w:szCs w:val="20"/>
        </w:rPr>
        <w:t xml:space="preserve"> beams</w:t>
      </w:r>
      <w:r w:rsidRPr="001D66A2">
        <w:rPr>
          <w:sz w:val="20"/>
          <w:szCs w:val="20"/>
        </w:rPr>
        <w:t>, vary th</w:t>
      </w:r>
      <w:r w:rsidR="00DA28CA" w:rsidRPr="001D66A2">
        <w:rPr>
          <w:sz w:val="20"/>
          <w:szCs w:val="20"/>
        </w:rPr>
        <w:t>e value of</w:t>
      </w:r>
      <w:r w:rsidR="00C60DD4" w:rsidRPr="001D66A2">
        <w:rPr>
          <w:sz w:val="20"/>
          <w:szCs w:val="20"/>
        </w:rPr>
        <w:t xml:space="preserve"> </w:t>
      </w:r>
      <w:r w:rsidRPr="001D66A2">
        <w:rPr>
          <w:i/>
          <w:sz w:val="20"/>
          <w:szCs w:val="20"/>
        </w:rPr>
        <w:t>I</w:t>
      </w:r>
      <w:r w:rsidRPr="001D66A2">
        <w:rPr>
          <w:sz w:val="20"/>
          <w:szCs w:val="20"/>
        </w:rPr>
        <w:t xml:space="preserve"> </w:t>
      </w:r>
      <w:r w:rsidR="00C60DD4" w:rsidRPr="001D66A2">
        <w:rPr>
          <w:sz w:val="20"/>
          <w:szCs w:val="20"/>
        </w:rPr>
        <w:t xml:space="preserve">from small to large </w:t>
      </w:r>
      <w:r w:rsidRPr="001D66A2">
        <w:rPr>
          <w:sz w:val="20"/>
          <w:szCs w:val="20"/>
        </w:rPr>
        <w:t>and compute the resulting buckling load for this column</w:t>
      </w:r>
      <w:r w:rsidR="00C81F18" w:rsidRPr="001D66A2">
        <w:rPr>
          <w:sz w:val="20"/>
          <w:szCs w:val="20"/>
        </w:rPr>
        <w:t>.</w:t>
      </w:r>
      <w:r w:rsidR="00DA28CA" w:rsidRPr="001D66A2">
        <w:rPr>
          <w:sz w:val="20"/>
          <w:szCs w:val="20"/>
        </w:rPr>
        <w:t xml:space="preserve"> </w:t>
      </w:r>
      <w:r w:rsidR="00C81F18" w:rsidRPr="001D66A2">
        <w:rPr>
          <w:sz w:val="20"/>
          <w:szCs w:val="20"/>
        </w:rPr>
        <w:t xml:space="preserve"> </w:t>
      </w:r>
      <w:r w:rsidRPr="001D66A2">
        <w:rPr>
          <w:sz w:val="20"/>
          <w:szCs w:val="20"/>
        </w:rPr>
        <w:t xml:space="preserve">Prepare a two-dimensional plot, with the </w:t>
      </w:r>
      <w:r w:rsidR="00C81F18" w:rsidRPr="001D66A2">
        <w:rPr>
          <w:sz w:val="20"/>
          <w:szCs w:val="20"/>
        </w:rPr>
        <w:t xml:space="preserve">value of the </w:t>
      </w:r>
      <w:r w:rsidRPr="001D66A2">
        <w:rPr>
          <w:sz w:val="20"/>
          <w:szCs w:val="20"/>
        </w:rPr>
        <w:t xml:space="preserve">beams’ </w:t>
      </w:r>
      <w:r w:rsidRPr="001D66A2">
        <w:rPr>
          <w:i/>
          <w:sz w:val="20"/>
          <w:szCs w:val="20"/>
        </w:rPr>
        <w:t>I</w:t>
      </w:r>
      <w:r w:rsidRPr="001D66A2">
        <w:rPr>
          <w:sz w:val="20"/>
          <w:szCs w:val="20"/>
        </w:rPr>
        <w:t xml:space="preserve"> on the horizontal axis and the column’s critical buckling load on the vertical</w:t>
      </w:r>
      <w:r w:rsidR="009C024F" w:rsidRPr="001D66A2">
        <w:rPr>
          <w:sz w:val="20"/>
          <w:szCs w:val="20"/>
        </w:rPr>
        <w:t xml:space="preserve"> axis</w:t>
      </w:r>
      <w:r w:rsidRPr="001D66A2">
        <w:rPr>
          <w:sz w:val="20"/>
          <w:szCs w:val="20"/>
        </w:rPr>
        <w:t xml:space="preserve">.  </w:t>
      </w:r>
      <w:r w:rsidR="002F32CE" w:rsidRPr="001D66A2">
        <w:rPr>
          <w:sz w:val="20"/>
          <w:szCs w:val="20"/>
        </w:rPr>
        <w:t xml:space="preserve">In addition to or alternatively, prepare a similar plot with the back-calculated </w:t>
      </w:r>
      <w:r w:rsidR="002F32CE" w:rsidRPr="001D66A2">
        <w:rPr>
          <w:i/>
          <w:sz w:val="20"/>
          <w:szCs w:val="20"/>
        </w:rPr>
        <w:t>K</w:t>
      </w:r>
      <w:r w:rsidR="002F32CE" w:rsidRPr="001D66A2">
        <w:rPr>
          <w:sz w:val="20"/>
          <w:szCs w:val="20"/>
        </w:rPr>
        <w:t xml:space="preserve">-factor on the vertical axis (instead of the critical buckling load).  </w:t>
      </w:r>
      <w:r w:rsidRPr="001D66A2">
        <w:rPr>
          <w:sz w:val="20"/>
          <w:szCs w:val="20"/>
        </w:rPr>
        <w:t>In general, discuss the impact that the flexural stiffness</w:t>
      </w:r>
      <w:r w:rsidR="00C60DD4" w:rsidRPr="001D66A2">
        <w:rPr>
          <w:sz w:val="20"/>
          <w:szCs w:val="20"/>
        </w:rPr>
        <w:t xml:space="preserve"> of the beams has</w:t>
      </w:r>
      <w:r w:rsidRPr="001D66A2">
        <w:rPr>
          <w:sz w:val="20"/>
          <w:szCs w:val="20"/>
        </w:rPr>
        <w:t xml:space="preserve"> on the critical buckling load of the column.</w:t>
      </w:r>
    </w:p>
    <w:p w14:paraId="5983ADD8" w14:textId="4FD8AA25" w:rsidR="00172C02" w:rsidRPr="001D66A2" w:rsidRDefault="00172C02" w:rsidP="00172C02">
      <w:pPr>
        <w:pStyle w:val="NoSpacing"/>
        <w:numPr>
          <w:ilvl w:val="1"/>
          <w:numId w:val="43"/>
        </w:numPr>
        <w:rPr>
          <w:sz w:val="20"/>
          <w:szCs w:val="20"/>
        </w:rPr>
      </w:pPr>
      <w:r w:rsidRPr="001D66A2">
        <w:rPr>
          <w:sz w:val="20"/>
          <w:szCs w:val="20"/>
        </w:rPr>
        <w:t>Repeat the above exercise, but no longer require that the top and bottom beam</w:t>
      </w:r>
      <w:r w:rsidR="009C024F" w:rsidRPr="001D66A2">
        <w:rPr>
          <w:sz w:val="20"/>
          <w:szCs w:val="20"/>
        </w:rPr>
        <w:t>s</w:t>
      </w:r>
      <w:r w:rsidRPr="001D66A2">
        <w:rPr>
          <w:sz w:val="20"/>
          <w:szCs w:val="20"/>
        </w:rPr>
        <w:t xml:space="preserve"> have equal values for their moment of inertia </w:t>
      </w:r>
      <w:r w:rsidR="003673BC" w:rsidRPr="001D66A2">
        <w:rPr>
          <w:i/>
          <w:sz w:val="20"/>
          <w:szCs w:val="20"/>
        </w:rPr>
        <w:t>I</w:t>
      </w:r>
      <w:r w:rsidRPr="001D66A2">
        <w:rPr>
          <w:sz w:val="20"/>
          <w:szCs w:val="20"/>
        </w:rPr>
        <w:t xml:space="preserve">.  Perform many critical load analyses for </w:t>
      </w:r>
      <w:r w:rsidR="00810DFA" w:rsidRPr="001D66A2">
        <w:rPr>
          <w:sz w:val="20"/>
          <w:szCs w:val="20"/>
        </w:rPr>
        <w:t>various combinations of top</w:t>
      </w:r>
      <w:r w:rsidR="00C624AF" w:rsidRPr="001D66A2">
        <w:rPr>
          <w:sz w:val="20"/>
          <w:szCs w:val="20"/>
        </w:rPr>
        <w:t>- and bottom-</w:t>
      </w:r>
      <w:r w:rsidR="00810DFA" w:rsidRPr="001D66A2">
        <w:rPr>
          <w:sz w:val="20"/>
          <w:szCs w:val="20"/>
        </w:rPr>
        <w:t xml:space="preserve">beam </w:t>
      </w:r>
      <w:r w:rsidR="003673BC" w:rsidRPr="001D66A2">
        <w:rPr>
          <w:i/>
          <w:sz w:val="20"/>
          <w:szCs w:val="20"/>
        </w:rPr>
        <w:t>I</w:t>
      </w:r>
      <w:r w:rsidR="00810DFA" w:rsidRPr="001D66A2">
        <w:rPr>
          <w:sz w:val="20"/>
          <w:szCs w:val="20"/>
        </w:rPr>
        <w:t xml:space="preserve"> values.  </w:t>
      </w:r>
      <w:r w:rsidR="00C624AF" w:rsidRPr="001D66A2">
        <w:rPr>
          <w:sz w:val="20"/>
          <w:szCs w:val="20"/>
        </w:rPr>
        <w:t xml:space="preserve">Take advantage of the fact that that the problem is symmetric; that is, reversing the values of top and bottom </w:t>
      </w:r>
      <w:r w:rsidR="00C624AF" w:rsidRPr="001D66A2">
        <w:rPr>
          <w:i/>
          <w:sz w:val="20"/>
          <w:szCs w:val="20"/>
        </w:rPr>
        <w:t>I</w:t>
      </w:r>
      <w:r w:rsidR="00C624AF" w:rsidRPr="001D66A2">
        <w:rPr>
          <w:sz w:val="20"/>
          <w:szCs w:val="20"/>
        </w:rPr>
        <w:t xml:space="preserve">’s will give the same result.  </w:t>
      </w:r>
      <w:r w:rsidR="00810DFA" w:rsidRPr="001D66A2">
        <w:rPr>
          <w:sz w:val="20"/>
          <w:szCs w:val="20"/>
        </w:rPr>
        <w:t>Show the results of this study by p</w:t>
      </w:r>
      <w:r w:rsidR="00E527A1" w:rsidRPr="001D66A2">
        <w:rPr>
          <w:sz w:val="20"/>
          <w:szCs w:val="20"/>
        </w:rPr>
        <w:t>reparing</w:t>
      </w:r>
      <w:r w:rsidRPr="001D66A2">
        <w:rPr>
          <w:sz w:val="20"/>
          <w:szCs w:val="20"/>
        </w:rPr>
        <w:t xml:space="preserve"> a three-dimensional plot, with bot</w:t>
      </w:r>
      <w:r w:rsidR="00C624AF" w:rsidRPr="001D66A2">
        <w:rPr>
          <w:sz w:val="20"/>
          <w:szCs w:val="20"/>
        </w:rPr>
        <w:t>tom-</w:t>
      </w:r>
      <w:r w:rsidRPr="001D66A2">
        <w:rPr>
          <w:sz w:val="20"/>
          <w:szCs w:val="20"/>
        </w:rPr>
        <w:t>beam</w:t>
      </w:r>
      <w:r w:rsidR="00E527A1" w:rsidRPr="001D66A2">
        <w:rPr>
          <w:sz w:val="20"/>
          <w:szCs w:val="20"/>
        </w:rPr>
        <w:t xml:space="preserve"> </w:t>
      </w:r>
      <w:r w:rsidR="003673BC" w:rsidRPr="001D66A2">
        <w:rPr>
          <w:i/>
          <w:sz w:val="20"/>
          <w:szCs w:val="20"/>
        </w:rPr>
        <w:t>I</w:t>
      </w:r>
      <w:r w:rsidR="00E527A1" w:rsidRPr="001D66A2">
        <w:rPr>
          <w:sz w:val="20"/>
          <w:szCs w:val="20"/>
        </w:rPr>
        <w:t xml:space="preserve"> v</w:t>
      </w:r>
      <w:r w:rsidR="00C624AF" w:rsidRPr="001D66A2">
        <w:rPr>
          <w:sz w:val="20"/>
          <w:szCs w:val="20"/>
        </w:rPr>
        <w:t>alue on a horizontal axis (x-axis), top-</w:t>
      </w:r>
      <w:r w:rsidR="003673BC" w:rsidRPr="001D66A2">
        <w:rPr>
          <w:sz w:val="20"/>
          <w:szCs w:val="20"/>
        </w:rPr>
        <w:t xml:space="preserve">beam </w:t>
      </w:r>
      <w:r w:rsidR="00D01C73" w:rsidRPr="001D66A2">
        <w:rPr>
          <w:i/>
          <w:sz w:val="20"/>
          <w:szCs w:val="20"/>
        </w:rPr>
        <w:t>I</w:t>
      </w:r>
      <w:r w:rsidR="00E527A1" w:rsidRPr="001D66A2">
        <w:rPr>
          <w:sz w:val="20"/>
          <w:szCs w:val="20"/>
        </w:rPr>
        <w:t xml:space="preserve"> value on the </w:t>
      </w:r>
      <w:r w:rsidR="00C624AF" w:rsidRPr="001D66A2">
        <w:rPr>
          <w:sz w:val="20"/>
          <w:szCs w:val="20"/>
        </w:rPr>
        <w:t>other horizontal axis (</w:t>
      </w:r>
      <w:r w:rsidR="00E527A1" w:rsidRPr="001D66A2">
        <w:rPr>
          <w:sz w:val="20"/>
          <w:szCs w:val="20"/>
        </w:rPr>
        <w:t>y-axis</w:t>
      </w:r>
      <w:r w:rsidR="00C624AF" w:rsidRPr="001D66A2">
        <w:rPr>
          <w:sz w:val="20"/>
          <w:szCs w:val="20"/>
        </w:rPr>
        <w:t>)</w:t>
      </w:r>
      <w:r w:rsidR="00E527A1" w:rsidRPr="001D66A2">
        <w:rPr>
          <w:sz w:val="20"/>
          <w:szCs w:val="20"/>
        </w:rPr>
        <w:t xml:space="preserve">, and the columns critical load </w:t>
      </w:r>
      <w:r w:rsidR="002F32CE" w:rsidRPr="001D66A2">
        <w:rPr>
          <w:sz w:val="20"/>
          <w:szCs w:val="20"/>
        </w:rPr>
        <w:t xml:space="preserve">and/or </w:t>
      </w:r>
      <w:r w:rsidR="002F32CE" w:rsidRPr="001D66A2">
        <w:rPr>
          <w:i/>
          <w:sz w:val="20"/>
          <w:szCs w:val="20"/>
        </w:rPr>
        <w:t>K</w:t>
      </w:r>
      <w:r w:rsidR="002F32CE" w:rsidRPr="001D66A2">
        <w:rPr>
          <w:sz w:val="20"/>
          <w:szCs w:val="20"/>
        </w:rPr>
        <w:t xml:space="preserve">-factor </w:t>
      </w:r>
      <w:r w:rsidR="00E527A1" w:rsidRPr="001D66A2">
        <w:rPr>
          <w:sz w:val="20"/>
          <w:szCs w:val="20"/>
        </w:rPr>
        <w:t xml:space="preserve">on the vertical </w:t>
      </w:r>
      <w:r w:rsidR="00C624AF" w:rsidRPr="001D66A2">
        <w:rPr>
          <w:sz w:val="20"/>
          <w:szCs w:val="20"/>
        </w:rPr>
        <w:t>axis (</w:t>
      </w:r>
      <w:r w:rsidR="00E527A1" w:rsidRPr="001D66A2">
        <w:rPr>
          <w:sz w:val="20"/>
          <w:szCs w:val="20"/>
        </w:rPr>
        <w:t>z-axis</w:t>
      </w:r>
      <w:r w:rsidR="00C624AF" w:rsidRPr="001D66A2">
        <w:rPr>
          <w:sz w:val="20"/>
          <w:szCs w:val="20"/>
        </w:rPr>
        <w:t>)</w:t>
      </w:r>
      <w:r w:rsidR="00E527A1" w:rsidRPr="001D66A2">
        <w:rPr>
          <w:sz w:val="20"/>
          <w:szCs w:val="20"/>
        </w:rPr>
        <w:t>.</w:t>
      </w:r>
    </w:p>
    <w:p w14:paraId="0F5C710B" w14:textId="7B3210A3" w:rsidR="00C60DD4" w:rsidRPr="001D66A2" w:rsidRDefault="0028633B" w:rsidP="00172C02">
      <w:pPr>
        <w:pStyle w:val="NoSpacing"/>
        <w:numPr>
          <w:ilvl w:val="1"/>
          <w:numId w:val="43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Repeat </w:t>
      </w:r>
      <w:r w:rsidR="00C60DD4" w:rsidRPr="001D66A2">
        <w:rPr>
          <w:sz w:val="20"/>
          <w:szCs w:val="20"/>
        </w:rPr>
        <w:t>either or both of t</w:t>
      </w:r>
      <w:r w:rsidR="00C624AF" w:rsidRPr="001D66A2">
        <w:rPr>
          <w:sz w:val="20"/>
          <w:szCs w:val="20"/>
        </w:rPr>
        <w:t xml:space="preserve">he above exercises, providing </w:t>
      </w:r>
      <w:r w:rsidR="00C60DD4" w:rsidRPr="001D66A2">
        <w:rPr>
          <w:sz w:val="20"/>
          <w:szCs w:val="20"/>
        </w:rPr>
        <w:t xml:space="preserve">beams </w:t>
      </w:r>
      <w:r w:rsidR="00C624AF" w:rsidRPr="001D66A2">
        <w:rPr>
          <w:sz w:val="20"/>
          <w:szCs w:val="20"/>
        </w:rPr>
        <w:t>(again, with rollers at their</w:t>
      </w:r>
      <w:r w:rsidRPr="001D66A2">
        <w:rPr>
          <w:sz w:val="20"/>
          <w:szCs w:val="20"/>
        </w:rPr>
        <w:t xml:space="preserve"> free ends) </w:t>
      </w:r>
      <w:r w:rsidR="00C60DD4" w:rsidRPr="001D66A2">
        <w:rPr>
          <w:sz w:val="20"/>
          <w:szCs w:val="20"/>
        </w:rPr>
        <w:t>at the top and bottom of a col</w:t>
      </w:r>
      <w:r w:rsidRPr="001D66A2">
        <w:rPr>
          <w:sz w:val="20"/>
          <w:szCs w:val="20"/>
        </w:rPr>
        <w:t>umn that is pin supported at its</w:t>
      </w:r>
      <w:r w:rsidR="00C60DD4" w:rsidRPr="001D66A2">
        <w:rPr>
          <w:sz w:val="20"/>
          <w:szCs w:val="20"/>
        </w:rPr>
        <w:t xml:space="preserve"> b</w:t>
      </w:r>
      <w:r w:rsidRPr="001D66A2">
        <w:rPr>
          <w:sz w:val="20"/>
          <w:szCs w:val="20"/>
        </w:rPr>
        <w:t>ase and free to translate at its</w:t>
      </w:r>
      <w:r w:rsidR="00C60DD4" w:rsidRPr="001D66A2">
        <w:rPr>
          <w:sz w:val="20"/>
          <w:szCs w:val="20"/>
        </w:rPr>
        <w:t xml:space="preserve"> top (Note:  Th</w:t>
      </w:r>
      <w:r w:rsidR="00C624AF" w:rsidRPr="001D66A2">
        <w:rPr>
          <w:sz w:val="20"/>
          <w:szCs w:val="20"/>
        </w:rPr>
        <w:t>is</w:t>
      </w:r>
      <w:r w:rsidR="00C60DD4" w:rsidRPr="001D66A2">
        <w:rPr>
          <w:sz w:val="20"/>
          <w:szCs w:val="20"/>
        </w:rPr>
        <w:t xml:space="preserve"> case without the beams was no</w:t>
      </w:r>
      <w:r w:rsidR="00BB0E10">
        <w:rPr>
          <w:sz w:val="20"/>
          <w:szCs w:val="20"/>
        </w:rPr>
        <w:t>t one of the originally</w:t>
      </w:r>
      <w:r w:rsidRPr="001D66A2">
        <w:rPr>
          <w:sz w:val="20"/>
          <w:szCs w:val="20"/>
        </w:rPr>
        <w:t xml:space="preserve"> </w:t>
      </w:r>
      <w:r w:rsidR="00C60DD4" w:rsidRPr="001D66A2">
        <w:rPr>
          <w:sz w:val="20"/>
          <w:szCs w:val="20"/>
        </w:rPr>
        <w:t>investigated.  Why</w:t>
      </w:r>
      <w:r w:rsidRPr="001D66A2">
        <w:rPr>
          <w:sz w:val="20"/>
          <w:szCs w:val="20"/>
        </w:rPr>
        <w:t xml:space="preserve"> not</w:t>
      </w:r>
      <w:r w:rsidR="00C624AF" w:rsidRPr="001D66A2">
        <w:rPr>
          <w:sz w:val="20"/>
          <w:szCs w:val="20"/>
        </w:rPr>
        <w:t>?)</w:t>
      </w:r>
    </w:p>
    <w:p w14:paraId="6CFE1848" w14:textId="5AF6ECF0" w:rsidR="0011161F" w:rsidRPr="001D66A2" w:rsidRDefault="007A2236" w:rsidP="007A2236">
      <w:pPr>
        <w:pStyle w:val="NoSpacing"/>
        <w:numPr>
          <w:ilvl w:val="0"/>
          <w:numId w:val="43"/>
        </w:numPr>
        <w:rPr>
          <w:sz w:val="20"/>
          <w:szCs w:val="20"/>
        </w:rPr>
      </w:pPr>
      <w:r w:rsidRPr="001D66A2">
        <w:rPr>
          <w:sz w:val="20"/>
          <w:szCs w:val="20"/>
        </w:rPr>
        <w:t xml:space="preserve">Repeat part or all of the above exercise using the combination of (i) a </w:t>
      </w:r>
      <w:r w:rsidR="0028633B" w:rsidRPr="001D66A2">
        <w:rPr>
          <w:sz w:val="20"/>
          <w:szCs w:val="20"/>
        </w:rPr>
        <w:t xml:space="preserve">rigid </w:t>
      </w:r>
      <w:r w:rsidRPr="001D66A2">
        <w:rPr>
          <w:sz w:val="20"/>
          <w:szCs w:val="20"/>
        </w:rPr>
        <w:t xml:space="preserve">beam </w:t>
      </w:r>
      <w:r w:rsidR="0028633B" w:rsidRPr="001D66A2">
        <w:rPr>
          <w:sz w:val="20"/>
          <w:szCs w:val="20"/>
        </w:rPr>
        <w:t xml:space="preserve">(beam </w:t>
      </w:r>
      <w:r w:rsidRPr="001D66A2">
        <w:rPr>
          <w:sz w:val="20"/>
          <w:szCs w:val="20"/>
        </w:rPr>
        <w:t>with a very large moment of inertia</w:t>
      </w:r>
      <w:r w:rsidR="0028633B" w:rsidRPr="001D66A2">
        <w:rPr>
          <w:sz w:val="20"/>
          <w:szCs w:val="20"/>
        </w:rPr>
        <w:t>)</w:t>
      </w:r>
      <w:r w:rsidRPr="001D66A2">
        <w:rPr>
          <w:sz w:val="20"/>
          <w:szCs w:val="20"/>
        </w:rPr>
        <w:t>, and (ii) beam-to-column connections of various rotationa</w:t>
      </w:r>
      <w:r w:rsidR="0028633B" w:rsidRPr="001D66A2">
        <w:rPr>
          <w:sz w:val="20"/>
          <w:szCs w:val="20"/>
        </w:rPr>
        <w:t>l restraint (rotational spring stiffness).</w:t>
      </w:r>
    </w:p>
    <w:p w14:paraId="4DEC957E" w14:textId="77777777" w:rsidR="0011161F" w:rsidRPr="001D66A2" w:rsidRDefault="0011161F" w:rsidP="0011161F">
      <w:pPr>
        <w:pStyle w:val="NoSpacing"/>
        <w:rPr>
          <w:b/>
          <w:sz w:val="20"/>
          <w:szCs w:val="20"/>
        </w:rPr>
      </w:pPr>
    </w:p>
    <w:p w14:paraId="67E6BB3A" w14:textId="3042C87D" w:rsidR="0011161F" w:rsidRPr="001D66A2" w:rsidRDefault="0011161F" w:rsidP="0011161F">
      <w:pPr>
        <w:pStyle w:val="NoSpacing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 xml:space="preserve">Suggested </w:t>
      </w:r>
      <w:r w:rsidR="00A02B47">
        <w:rPr>
          <w:b/>
          <w:sz w:val="20"/>
          <w:szCs w:val="20"/>
        </w:rPr>
        <w:t>Warm-up</w:t>
      </w:r>
      <w:r w:rsidRPr="001D66A2">
        <w:rPr>
          <w:b/>
          <w:sz w:val="20"/>
          <w:szCs w:val="20"/>
        </w:rPr>
        <w:t xml:space="preserve"> Exercise</w:t>
      </w:r>
    </w:p>
    <w:p w14:paraId="32B52E5E" w14:textId="15C71484" w:rsidR="003C6317" w:rsidRDefault="003C6317" w:rsidP="0011161F">
      <w:pPr>
        <w:pStyle w:val="NoSpacing"/>
        <w:ind w:left="360"/>
        <w:rPr>
          <w:sz w:val="20"/>
          <w:szCs w:val="20"/>
        </w:rPr>
      </w:pPr>
      <w:r w:rsidRPr="001D66A2">
        <w:rPr>
          <w:sz w:val="20"/>
          <w:szCs w:val="20"/>
        </w:rPr>
        <w:t xml:space="preserve">Prepare a model that only has one column and the Euler end restraint conditions (pinned at base and roller at top).  Starting with one element, compare the buckling load computed by </w:t>
      </w:r>
      <w:r w:rsidR="0028633B" w:rsidRPr="001D66A2">
        <w:rPr>
          <w:sz w:val="20"/>
          <w:szCs w:val="20"/>
        </w:rPr>
        <w:t>a</w:t>
      </w:r>
      <w:r w:rsidR="00F37A72">
        <w:rPr>
          <w:sz w:val="20"/>
          <w:szCs w:val="20"/>
        </w:rPr>
        <w:t xml:space="preserve">n </w:t>
      </w:r>
      <w:r w:rsidR="00F37A72" w:rsidRPr="00F76A66">
        <w:rPr>
          <w:b/>
          <w:sz w:val="20"/>
          <w:szCs w:val="20"/>
        </w:rPr>
        <w:t>elastic</w:t>
      </w:r>
      <w:r w:rsidRPr="00F76A66">
        <w:rPr>
          <w:b/>
          <w:sz w:val="20"/>
          <w:szCs w:val="20"/>
        </w:rPr>
        <w:t xml:space="preserve"> critical load analysis</w:t>
      </w:r>
      <w:r w:rsidRPr="001D66A2">
        <w:rPr>
          <w:sz w:val="20"/>
          <w:szCs w:val="20"/>
        </w:rPr>
        <w:t xml:space="preserve"> with the theoretical value.  Explain why the results are not in close agre</w:t>
      </w:r>
      <w:r w:rsidR="000E1208">
        <w:rPr>
          <w:sz w:val="20"/>
          <w:szCs w:val="20"/>
        </w:rPr>
        <w:t>ement.  Subdivide the column in</w:t>
      </w:r>
      <w:r w:rsidRPr="001D66A2">
        <w:rPr>
          <w:sz w:val="20"/>
          <w:szCs w:val="20"/>
        </w:rPr>
        <w:t>to two elements and compare the results.  Using an acceptable</w:t>
      </w:r>
      <w:r w:rsidR="00C873D9">
        <w:rPr>
          <w:sz w:val="20"/>
          <w:szCs w:val="20"/>
        </w:rPr>
        <w:t xml:space="preserve"> error of 0.5</w:t>
      </w:r>
      <w:r w:rsidR="0028633B" w:rsidRPr="001D66A2">
        <w:rPr>
          <w:sz w:val="20"/>
          <w:szCs w:val="20"/>
        </w:rPr>
        <w:t>%, keep repeating this subdivision</w:t>
      </w:r>
      <w:r w:rsidRPr="001D66A2">
        <w:rPr>
          <w:sz w:val="20"/>
          <w:szCs w:val="20"/>
        </w:rPr>
        <w:t xml:space="preserve"> process until the adequate number of elements is obtained.  </w:t>
      </w:r>
      <w:r w:rsidR="005415B0">
        <w:rPr>
          <w:sz w:val="20"/>
          <w:szCs w:val="20"/>
        </w:rPr>
        <w:t>Complete Table 2 below</w:t>
      </w:r>
      <w:r w:rsidR="00C873D9">
        <w:rPr>
          <w:sz w:val="20"/>
          <w:szCs w:val="20"/>
        </w:rPr>
        <w:t xml:space="preserve"> that shows </w:t>
      </w:r>
      <w:r w:rsidR="005415B0">
        <w:rPr>
          <w:sz w:val="20"/>
          <w:szCs w:val="20"/>
        </w:rPr>
        <w:t xml:space="preserve">the </w:t>
      </w:r>
      <w:r w:rsidR="00C873D9">
        <w:rPr>
          <w:sz w:val="20"/>
          <w:szCs w:val="20"/>
        </w:rPr>
        <w:t xml:space="preserve">number of elements and the corresponding percent error.  </w:t>
      </w:r>
      <w:r w:rsidRPr="001D66A2">
        <w:rPr>
          <w:sz w:val="20"/>
          <w:szCs w:val="20"/>
        </w:rPr>
        <w:t xml:space="preserve">How many elements are needed?  Is this result a function of the degree of end restraint?  If so, </w:t>
      </w:r>
      <w:r w:rsidR="00C873D9">
        <w:rPr>
          <w:sz w:val="20"/>
          <w:szCs w:val="20"/>
        </w:rPr>
        <w:t xml:space="preserve">try some other end conditions and determine </w:t>
      </w:r>
      <w:r w:rsidRPr="001D66A2">
        <w:rPr>
          <w:sz w:val="20"/>
          <w:szCs w:val="20"/>
        </w:rPr>
        <w:t>which end restraint condition</w:t>
      </w:r>
      <w:r w:rsidR="00737D36">
        <w:rPr>
          <w:sz w:val="20"/>
          <w:szCs w:val="20"/>
        </w:rPr>
        <w:t xml:space="preserve"> should be used and the </w:t>
      </w:r>
      <w:r w:rsidRPr="001D66A2">
        <w:rPr>
          <w:sz w:val="20"/>
          <w:szCs w:val="20"/>
        </w:rPr>
        <w:t xml:space="preserve">corresponding </w:t>
      </w:r>
      <w:r w:rsidR="00737D36">
        <w:rPr>
          <w:sz w:val="20"/>
          <w:szCs w:val="20"/>
        </w:rPr>
        <w:t xml:space="preserve">number of </w:t>
      </w:r>
      <w:r w:rsidRPr="001D66A2">
        <w:rPr>
          <w:sz w:val="20"/>
          <w:szCs w:val="20"/>
        </w:rPr>
        <w:t xml:space="preserve">elements </w:t>
      </w:r>
      <w:r w:rsidR="00737D36">
        <w:rPr>
          <w:sz w:val="20"/>
          <w:szCs w:val="20"/>
        </w:rPr>
        <w:t xml:space="preserve">required </w:t>
      </w:r>
      <w:r w:rsidR="00C873D9">
        <w:rPr>
          <w:sz w:val="20"/>
          <w:szCs w:val="20"/>
        </w:rPr>
        <w:t>for 0.5</w:t>
      </w:r>
      <w:r w:rsidRPr="001D66A2">
        <w:rPr>
          <w:sz w:val="20"/>
          <w:szCs w:val="20"/>
        </w:rPr>
        <w:t>% accuracy?</w:t>
      </w:r>
    </w:p>
    <w:p w14:paraId="214F6204" w14:textId="794D9C7C" w:rsidR="00604B3A" w:rsidRDefault="005415B0" w:rsidP="00BB0E10">
      <w:pPr>
        <w:pStyle w:val="NoSpacing"/>
        <w:spacing w:before="120" w:after="120"/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>Table 2.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17"/>
        <w:gridCol w:w="1148"/>
        <w:gridCol w:w="1098"/>
        <w:gridCol w:w="1132"/>
        <w:gridCol w:w="1117"/>
        <w:gridCol w:w="1148"/>
        <w:gridCol w:w="1098"/>
        <w:gridCol w:w="1132"/>
      </w:tblGrid>
      <w:tr w:rsidR="00806EE0" w14:paraId="70239102" w14:textId="77777777" w:rsidTr="00DF5112">
        <w:tc>
          <w:tcPr>
            <w:tcW w:w="4608" w:type="dxa"/>
            <w:gridSpan w:val="4"/>
          </w:tcPr>
          <w:p w14:paraId="7235DCFF" w14:textId="694044C0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Euler Column (pinned—pinned)</w:t>
            </w:r>
          </w:p>
        </w:tc>
        <w:tc>
          <w:tcPr>
            <w:tcW w:w="4608" w:type="dxa"/>
            <w:gridSpan w:val="4"/>
          </w:tcPr>
          <w:p w14:paraId="606DD224" w14:textId="3BC58FEA" w:rsidR="00806EE0" w:rsidRDefault="00806EE0" w:rsidP="00806EE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 end restr</w:t>
            </w:r>
            <w:r w:rsidR="005415B0">
              <w:rPr>
                <w:sz w:val="20"/>
                <w:szCs w:val="20"/>
              </w:rPr>
              <w:t>aint condition is:</w:t>
            </w:r>
          </w:p>
        </w:tc>
      </w:tr>
      <w:tr w:rsidR="00806EE0" w14:paraId="24F6549D" w14:textId="77777777" w:rsidTr="00DF5112">
        <w:trPr>
          <w:trHeight w:val="498"/>
        </w:trPr>
        <w:tc>
          <w:tcPr>
            <w:tcW w:w="1152" w:type="dxa"/>
          </w:tcPr>
          <w:p w14:paraId="1F7EE314" w14:textId="29A8E53C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elements</w:t>
            </w:r>
          </w:p>
        </w:tc>
        <w:tc>
          <w:tcPr>
            <w:tcW w:w="1152" w:type="dxa"/>
          </w:tcPr>
          <w:p w14:paraId="1E085A1F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Theoretical</w:t>
            </w:r>
          </w:p>
          <w:p w14:paraId="61DA38BA" w14:textId="41760784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</w:tcPr>
          <w:p w14:paraId="680B2BE4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</w:p>
          <w:p w14:paraId="0BBF15D5" w14:textId="0F9FBAF9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</w:tcPr>
          <w:p w14:paraId="39CC911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14:paraId="3CB55330" w14:textId="77E5FCAF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difference</w:t>
            </w:r>
          </w:p>
        </w:tc>
        <w:tc>
          <w:tcPr>
            <w:tcW w:w="1152" w:type="dxa"/>
          </w:tcPr>
          <w:p w14:paraId="134524DE" w14:textId="4875221D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elements</w:t>
            </w:r>
          </w:p>
        </w:tc>
        <w:tc>
          <w:tcPr>
            <w:tcW w:w="1152" w:type="dxa"/>
          </w:tcPr>
          <w:p w14:paraId="522BA76F" w14:textId="77777777" w:rsidR="00806EE0" w:rsidRDefault="00806EE0" w:rsidP="00DF51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Theoretical</w:t>
            </w:r>
          </w:p>
          <w:p w14:paraId="5EA4169D" w14:textId="6FC323F0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</w:tcPr>
          <w:p w14:paraId="2C46AD7E" w14:textId="77777777" w:rsidR="00806EE0" w:rsidRDefault="00806EE0" w:rsidP="00DF511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</w:p>
          <w:p w14:paraId="58046731" w14:textId="2E7A85A1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 w:rsidRPr="0046165D">
              <w:rPr>
                <w:i/>
                <w:sz w:val="20"/>
                <w:szCs w:val="20"/>
              </w:rPr>
              <w:t>P</w:t>
            </w:r>
            <w:r w:rsidRPr="0046165D">
              <w:rPr>
                <w:sz w:val="20"/>
                <w:szCs w:val="20"/>
                <w:vertAlign w:val="subscript"/>
              </w:rPr>
              <w:t>cr</w:t>
            </w:r>
          </w:p>
        </w:tc>
        <w:tc>
          <w:tcPr>
            <w:tcW w:w="1152" w:type="dxa"/>
          </w:tcPr>
          <w:p w14:paraId="2015BD0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14:paraId="3BF79AB1" w14:textId="7D009DA9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difference</w:t>
            </w:r>
          </w:p>
        </w:tc>
      </w:tr>
      <w:tr w:rsidR="00806EE0" w14:paraId="0C631B53" w14:textId="77777777" w:rsidTr="00806EE0">
        <w:tc>
          <w:tcPr>
            <w:tcW w:w="1152" w:type="dxa"/>
          </w:tcPr>
          <w:p w14:paraId="6B42782C" w14:textId="116AD144" w:rsidR="00806EE0" w:rsidRDefault="005415B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14:paraId="70091CED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8A7B47F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44C4447A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883DC14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59ECA5A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7C5A56E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468326B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806EE0" w14:paraId="020808FD" w14:textId="77777777" w:rsidTr="00806EE0">
        <w:tc>
          <w:tcPr>
            <w:tcW w:w="1152" w:type="dxa"/>
          </w:tcPr>
          <w:p w14:paraId="511BFA92" w14:textId="49EAD1DA" w:rsidR="00806EE0" w:rsidRDefault="005415B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52" w:type="dxa"/>
          </w:tcPr>
          <w:p w14:paraId="39688E74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B2DC2B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592F63D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1FD5868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F3543E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979EE1E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5B0FDDE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806EE0" w14:paraId="34C9D6F0" w14:textId="77777777" w:rsidTr="00806EE0">
        <w:tc>
          <w:tcPr>
            <w:tcW w:w="1152" w:type="dxa"/>
          </w:tcPr>
          <w:p w14:paraId="094D9580" w14:textId="50818238" w:rsidR="00806EE0" w:rsidRDefault="005415B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14:paraId="006CFCD7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02C6416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208A67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0E624AD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819E2C8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41DD5A5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799DD42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806EE0" w14:paraId="57E75CF0" w14:textId="77777777" w:rsidTr="00806EE0">
        <w:tc>
          <w:tcPr>
            <w:tcW w:w="1152" w:type="dxa"/>
          </w:tcPr>
          <w:p w14:paraId="3E47843D" w14:textId="136D7903" w:rsidR="00806EE0" w:rsidRDefault="005415B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52" w:type="dxa"/>
          </w:tcPr>
          <w:p w14:paraId="58A8E3D6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239741D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128618A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532BF48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6E0DFF5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BFC99B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4A0CD0D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806EE0" w14:paraId="2F37E28D" w14:textId="77777777" w:rsidTr="00806EE0">
        <w:tc>
          <w:tcPr>
            <w:tcW w:w="1152" w:type="dxa"/>
          </w:tcPr>
          <w:p w14:paraId="61E54EB5" w14:textId="69C81352" w:rsidR="00806EE0" w:rsidRDefault="005415B0" w:rsidP="00806EE0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52" w:type="dxa"/>
          </w:tcPr>
          <w:p w14:paraId="350968B2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45024091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0273D498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0AF7D7F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576E4668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3C8FE962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77F93A20" w14:textId="77777777" w:rsidR="00806EE0" w:rsidRDefault="00806EE0" w:rsidP="00806EE0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2CF87C2B" w14:textId="77777777" w:rsidR="00806EE0" w:rsidRDefault="00806EE0" w:rsidP="0011161F">
      <w:pPr>
        <w:pStyle w:val="NoSpacing"/>
        <w:ind w:left="360"/>
        <w:rPr>
          <w:sz w:val="20"/>
          <w:szCs w:val="20"/>
        </w:rPr>
      </w:pPr>
    </w:p>
    <w:p w14:paraId="495705FE" w14:textId="1D80747B" w:rsidR="00604B3A" w:rsidRDefault="00604B3A" w:rsidP="00604B3A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Additional Resources</w:t>
      </w:r>
    </w:p>
    <w:p w14:paraId="2291D33B" w14:textId="28CE9E47" w:rsidR="00BB0E10" w:rsidRPr="00BB0E10" w:rsidRDefault="00BB0E10" w:rsidP="00604B3A">
      <w:pPr>
        <w:pStyle w:val="NoSpacing"/>
        <w:rPr>
          <w:sz w:val="20"/>
          <w:szCs w:val="20"/>
        </w:rPr>
      </w:pPr>
      <w:r w:rsidRPr="00BB0E10">
        <w:rPr>
          <w:sz w:val="20"/>
          <w:szCs w:val="20"/>
        </w:rPr>
        <w:tab/>
        <w:t xml:space="preserve">MS Excel spreadsheet:  </w:t>
      </w:r>
      <w:r w:rsidRPr="00BB0E10">
        <w:rPr>
          <w:i/>
          <w:sz w:val="20"/>
          <w:szCs w:val="20"/>
        </w:rPr>
        <w:t>1_ElasticBucklingandSupportConditions.xlsx</w:t>
      </w:r>
    </w:p>
    <w:p w14:paraId="73C28108" w14:textId="37BBFD3E" w:rsidR="003D35C1" w:rsidRDefault="003D35C1" w:rsidP="003D35C1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>LM1 Tutorial Video</w:t>
      </w:r>
      <w:r w:rsidR="00D21E3D">
        <w:rPr>
          <w:sz w:val="20"/>
          <w:szCs w:val="20"/>
        </w:rPr>
        <w:t xml:space="preserve"> [9 min]</w:t>
      </w:r>
      <w:r>
        <w:rPr>
          <w:sz w:val="20"/>
          <w:szCs w:val="20"/>
        </w:rPr>
        <w:t>:</w:t>
      </w:r>
    </w:p>
    <w:p w14:paraId="061F2A84" w14:textId="50EB4FEC" w:rsidR="003D35C1" w:rsidRDefault="003D35C1" w:rsidP="003D35C1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9" w:history="1">
        <w:r w:rsidRPr="0092560E">
          <w:rPr>
            <w:rStyle w:val="Hyperlink"/>
            <w:sz w:val="20"/>
            <w:szCs w:val="20"/>
          </w:rPr>
          <w:t>http://www.youtube.com/watch?v=DEl4VRLptKg</w:t>
        </w:r>
      </w:hyperlink>
    </w:p>
    <w:p w14:paraId="22B084C1" w14:textId="39E4F29E" w:rsidR="00604B3A" w:rsidRDefault="00604B3A" w:rsidP="00BC4E06">
      <w:pPr>
        <w:pStyle w:val="NoSpacing"/>
        <w:ind w:left="720"/>
        <w:rPr>
          <w:sz w:val="20"/>
          <w:szCs w:val="20"/>
        </w:rPr>
      </w:pPr>
      <w:r w:rsidRPr="00CE06A1">
        <w:rPr>
          <w:sz w:val="20"/>
          <w:szCs w:val="20"/>
        </w:rPr>
        <w:t xml:space="preserve">AISC </w:t>
      </w:r>
      <w:r w:rsidRPr="00CE06A1">
        <w:rPr>
          <w:i/>
          <w:sz w:val="20"/>
          <w:szCs w:val="20"/>
        </w:rPr>
        <w:t>Specification for Structural Steel Buildings and Commentary</w:t>
      </w:r>
      <w:r w:rsidRPr="00CE06A1">
        <w:rPr>
          <w:sz w:val="20"/>
          <w:szCs w:val="20"/>
        </w:rPr>
        <w:t xml:space="preserve"> (20</w:t>
      </w:r>
      <w:r w:rsidR="00335838">
        <w:rPr>
          <w:sz w:val="20"/>
          <w:szCs w:val="20"/>
        </w:rPr>
        <w:t>22</w:t>
      </w:r>
      <w:r w:rsidRPr="00CE06A1">
        <w:rPr>
          <w:sz w:val="20"/>
          <w:szCs w:val="20"/>
        </w:rPr>
        <w:t>)</w:t>
      </w:r>
      <w:r w:rsidR="003D35C1">
        <w:rPr>
          <w:sz w:val="20"/>
          <w:szCs w:val="20"/>
        </w:rPr>
        <w:t>:</w:t>
      </w:r>
    </w:p>
    <w:p w14:paraId="7C43E4C4" w14:textId="38133016" w:rsidR="00A045F7" w:rsidRDefault="00A045F7" w:rsidP="00BC4E06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0" w:history="1">
        <w:r w:rsidR="00571508">
          <w:rPr>
            <w:rStyle w:val="Hyperlink"/>
            <w:sz w:val="20"/>
            <w:szCs w:val="20"/>
          </w:rPr>
          <w:t>https://www.aisc.org/publications/steel-standards/aisc-360/</w:t>
        </w:r>
      </w:hyperlink>
    </w:p>
    <w:p w14:paraId="45E83D8B" w14:textId="3EF078D1" w:rsidR="003D35C1" w:rsidRDefault="00F72C12" w:rsidP="00BC4E06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>MASTAN2 software:</w:t>
      </w:r>
    </w:p>
    <w:p w14:paraId="37FB0C38" w14:textId="180FF621" w:rsidR="00F72C12" w:rsidRDefault="00F72C12" w:rsidP="00BC4E06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1" w:history="1">
        <w:r w:rsidRPr="0092560E">
          <w:rPr>
            <w:rStyle w:val="Hyperlink"/>
            <w:sz w:val="20"/>
            <w:szCs w:val="20"/>
          </w:rPr>
          <w:t>http://www.mastan2.com/</w:t>
        </w:r>
      </w:hyperlink>
    </w:p>
    <w:sectPr w:rsidR="00F72C12" w:rsidSect="00BF199B">
      <w:headerReference w:type="even" r:id="rId12"/>
      <w:head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29A01" w14:textId="77777777" w:rsidR="009C09C4" w:rsidRDefault="009C09C4" w:rsidP="001B147E">
      <w:pPr>
        <w:spacing w:after="0" w:line="240" w:lineRule="auto"/>
      </w:pPr>
      <w:r>
        <w:separator/>
      </w:r>
    </w:p>
  </w:endnote>
  <w:endnote w:type="continuationSeparator" w:id="0">
    <w:p w14:paraId="1F034D6F" w14:textId="77777777" w:rsidR="009C09C4" w:rsidRDefault="009C09C4" w:rsidP="001B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EB067" w14:textId="77777777" w:rsidR="009C09C4" w:rsidRDefault="009C09C4" w:rsidP="001B147E">
      <w:pPr>
        <w:spacing w:after="0" w:line="240" w:lineRule="auto"/>
      </w:pPr>
      <w:r>
        <w:separator/>
      </w:r>
    </w:p>
  </w:footnote>
  <w:footnote w:type="continuationSeparator" w:id="0">
    <w:p w14:paraId="62047615" w14:textId="77777777" w:rsidR="009C09C4" w:rsidRDefault="009C09C4" w:rsidP="001B147E">
      <w:pPr>
        <w:spacing w:after="0" w:line="240" w:lineRule="auto"/>
      </w:pPr>
      <w:r>
        <w:continuationSeparator/>
      </w:r>
    </w:p>
  </w:footnote>
  <w:footnote w:id="1">
    <w:p w14:paraId="78B38790" w14:textId="16D68DDB" w:rsidR="000E0286" w:rsidRPr="00F76A66" w:rsidRDefault="000E0286">
      <w:pPr>
        <w:pStyle w:val="FootnoteText"/>
        <w:rPr>
          <w:sz w:val="20"/>
          <w:szCs w:val="20"/>
        </w:rPr>
      </w:pPr>
      <w:r w:rsidRPr="00F76A66">
        <w:rPr>
          <w:rStyle w:val="FootnoteReference"/>
          <w:sz w:val="20"/>
          <w:szCs w:val="20"/>
        </w:rPr>
        <w:footnoteRef/>
      </w:r>
      <w:r w:rsidRPr="00F76A66">
        <w:rPr>
          <w:sz w:val="20"/>
          <w:szCs w:val="20"/>
        </w:rPr>
        <w:t xml:space="preserve"> An elastic critical load analysis is also referred to as an elastic buckling or eigenvalue analysis.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068EA" w14:textId="77777777" w:rsidR="000E0286" w:rsidRDefault="000E0286" w:rsidP="00BC4E0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3983EA" w14:textId="77777777" w:rsidR="000E0286" w:rsidRDefault="000E0286" w:rsidP="00643CD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BC4A" w14:textId="77777777" w:rsidR="000E0286" w:rsidRPr="00643CD5" w:rsidRDefault="000E0286" w:rsidP="00BC4E06">
    <w:pPr>
      <w:pStyle w:val="Header"/>
      <w:framePr w:wrap="around" w:vAnchor="text" w:hAnchor="margin" w:xAlign="right" w:y="1"/>
      <w:rPr>
        <w:rStyle w:val="PageNumber"/>
        <w:sz w:val="16"/>
        <w:szCs w:val="16"/>
      </w:rPr>
    </w:pPr>
    <w:r w:rsidRPr="00643CD5">
      <w:rPr>
        <w:rStyle w:val="PageNumber"/>
        <w:sz w:val="16"/>
        <w:szCs w:val="16"/>
      </w:rPr>
      <w:fldChar w:fldCharType="begin"/>
    </w:r>
    <w:r w:rsidRPr="00643CD5">
      <w:rPr>
        <w:rStyle w:val="PageNumber"/>
        <w:sz w:val="16"/>
        <w:szCs w:val="16"/>
      </w:rPr>
      <w:instrText xml:space="preserve">PAGE  </w:instrText>
    </w:r>
    <w:r w:rsidRPr="00643CD5">
      <w:rPr>
        <w:rStyle w:val="PageNumber"/>
        <w:sz w:val="16"/>
        <w:szCs w:val="16"/>
      </w:rPr>
      <w:fldChar w:fldCharType="separate"/>
    </w:r>
    <w:r w:rsidR="006122CE">
      <w:rPr>
        <w:rStyle w:val="PageNumber"/>
        <w:noProof/>
        <w:sz w:val="16"/>
        <w:szCs w:val="16"/>
      </w:rPr>
      <w:t>2</w:t>
    </w:r>
    <w:r w:rsidRPr="00643CD5">
      <w:rPr>
        <w:rStyle w:val="PageNumber"/>
        <w:sz w:val="16"/>
        <w:szCs w:val="16"/>
      </w:rPr>
      <w:fldChar w:fldCharType="end"/>
    </w:r>
  </w:p>
  <w:p w14:paraId="38EE41FD" w14:textId="0EF4DC84" w:rsidR="000E0286" w:rsidRPr="000D7E71" w:rsidRDefault="000E0286" w:rsidP="00643CD5">
    <w:pPr>
      <w:pStyle w:val="Header"/>
      <w:ind w:right="360"/>
      <w:rPr>
        <w:sz w:val="16"/>
        <w:szCs w:val="16"/>
      </w:rPr>
    </w:pPr>
    <w:r w:rsidRPr="000D7E71">
      <w:rPr>
        <w:sz w:val="16"/>
        <w:szCs w:val="16"/>
      </w:rPr>
      <w:t>Learning Module Number 1</w:t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B31B0"/>
    <w:multiLevelType w:val="hybridMultilevel"/>
    <w:tmpl w:val="C1D831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7305"/>
    <w:multiLevelType w:val="hybridMultilevel"/>
    <w:tmpl w:val="8B2C86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1241EF"/>
    <w:multiLevelType w:val="hybridMultilevel"/>
    <w:tmpl w:val="72E8B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A0A97"/>
    <w:multiLevelType w:val="hybridMultilevel"/>
    <w:tmpl w:val="D91C8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66534"/>
    <w:multiLevelType w:val="hybridMultilevel"/>
    <w:tmpl w:val="969C8A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31"/>
    <w:multiLevelType w:val="hybridMultilevel"/>
    <w:tmpl w:val="72825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F12E72"/>
    <w:multiLevelType w:val="hybridMultilevel"/>
    <w:tmpl w:val="047AF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F20FA"/>
    <w:multiLevelType w:val="hybridMultilevel"/>
    <w:tmpl w:val="9BD0E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14786"/>
    <w:multiLevelType w:val="hybridMultilevel"/>
    <w:tmpl w:val="40486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D6BB8"/>
    <w:multiLevelType w:val="hybridMultilevel"/>
    <w:tmpl w:val="3FFE5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A3976"/>
    <w:multiLevelType w:val="hybridMultilevel"/>
    <w:tmpl w:val="5FEA2F68"/>
    <w:lvl w:ilvl="0" w:tplc="04090011">
      <w:start w:val="1"/>
      <w:numFmt w:val="decimal"/>
      <w:lvlText w:val="%1)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1" w15:restartNumberingAfterBreak="0">
    <w:nsid w:val="20563D50"/>
    <w:multiLevelType w:val="hybridMultilevel"/>
    <w:tmpl w:val="D15C65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91597"/>
    <w:multiLevelType w:val="hybridMultilevel"/>
    <w:tmpl w:val="0B4600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63E1E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D58B9"/>
    <w:multiLevelType w:val="hybridMultilevel"/>
    <w:tmpl w:val="06F67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7635F"/>
    <w:multiLevelType w:val="hybridMultilevel"/>
    <w:tmpl w:val="6456B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E1364"/>
    <w:multiLevelType w:val="hybridMultilevel"/>
    <w:tmpl w:val="1FC049B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8B73EEB"/>
    <w:multiLevelType w:val="hybridMultilevel"/>
    <w:tmpl w:val="176CD3FA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2CCC4506"/>
    <w:multiLevelType w:val="hybridMultilevel"/>
    <w:tmpl w:val="D3866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D1947"/>
    <w:multiLevelType w:val="hybridMultilevel"/>
    <w:tmpl w:val="3D52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20D7E"/>
    <w:multiLevelType w:val="hybridMultilevel"/>
    <w:tmpl w:val="BCC8FD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A5DFB"/>
    <w:multiLevelType w:val="hybridMultilevel"/>
    <w:tmpl w:val="C7D8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C2CE0"/>
    <w:multiLevelType w:val="hybridMultilevel"/>
    <w:tmpl w:val="A20AD298"/>
    <w:lvl w:ilvl="0" w:tplc="04090011">
      <w:start w:val="1"/>
      <w:numFmt w:val="decimal"/>
      <w:lvlText w:val="%1)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3" w15:restartNumberingAfterBreak="0">
    <w:nsid w:val="39D321D0"/>
    <w:multiLevelType w:val="hybridMultilevel"/>
    <w:tmpl w:val="BC30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BD16DE"/>
    <w:multiLevelType w:val="hybridMultilevel"/>
    <w:tmpl w:val="D3866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23B01"/>
    <w:multiLevelType w:val="hybridMultilevel"/>
    <w:tmpl w:val="A27E2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5712A"/>
    <w:multiLevelType w:val="hybridMultilevel"/>
    <w:tmpl w:val="7600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C587F"/>
    <w:multiLevelType w:val="hybridMultilevel"/>
    <w:tmpl w:val="9A94A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F0FAD"/>
    <w:multiLevelType w:val="hybridMultilevel"/>
    <w:tmpl w:val="1AD244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7820B05"/>
    <w:multiLevelType w:val="hybridMultilevel"/>
    <w:tmpl w:val="F5D809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36BF9"/>
    <w:multiLevelType w:val="hybridMultilevel"/>
    <w:tmpl w:val="F582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3E3FE2"/>
    <w:multiLevelType w:val="hybridMultilevel"/>
    <w:tmpl w:val="B9A8D4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AE454D"/>
    <w:multiLevelType w:val="hybridMultilevel"/>
    <w:tmpl w:val="5FC691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209FD"/>
    <w:multiLevelType w:val="hybridMultilevel"/>
    <w:tmpl w:val="CE16B7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04DEE"/>
    <w:multiLevelType w:val="hybridMultilevel"/>
    <w:tmpl w:val="E37A5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D7B9A"/>
    <w:multiLevelType w:val="hybridMultilevel"/>
    <w:tmpl w:val="431E2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6B8"/>
    <w:multiLevelType w:val="hybridMultilevel"/>
    <w:tmpl w:val="51408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11540"/>
    <w:multiLevelType w:val="hybridMultilevel"/>
    <w:tmpl w:val="176CD3FA"/>
    <w:lvl w:ilvl="0" w:tplc="04090017">
      <w:start w:val="1"/>
      <w:numFmt w:val="lowerLetter"/>
      <w:lvlText w:val="%1)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 w15:restartNumberingAfterBreak="0">
    <w:nsid w:val="632E3335"/>
    <w:multiLevelType w:val="hybridMultilevel"/>
    <w:tmpl w:val="51D4BBA8"/>
    <w:lvl w:ilvl="0" w:tplc="04090011">
      <w:start w:val="1"/>
      <w:numFmt w:val="decimal"/>
      <w:lvlText w:val="%1)"/>
      <w:lvlJc w:val="left"/>
      <w:pPr>
        <w:ind w:left="3585" w:hanging="360"/>
      </w:p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39" w15:restartNumberingAfterBreak="0">
    <w:nsid w:val="658D20F4"/>
    <w:multiLevelType w:val="hybridMultilevel"/>
    <w:tmpl w:val="EFD45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032F33"/>
    <w:multiLevelType w:val="hybridMultilevel"/>
    <w:tmpl w:val="D25CC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533C3E"/>
    <w:multiLevelType w:val="hybridMultilevel"/>
    <w:tmpl w:val="3528BE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97CFF"/>
    <w:multiLevelType w:val="hybridMultilevel"/>
    <w:tmpl w:val="8DEAB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012C2"/>
    <w:multiLevelType w:val="hybridMultilevel"/>
    <w:tmpl w:val="E1D41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857280"/>
    <w:multiLevelType w:val="hybridMultilevel"/>
    <w:tmpl w:val="0CA20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07FA0"/>
    <w:multiLevelType w:val="hybridMultilevel"/>
    <w:tmpl w:val="A97C72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C0287B"/>
    <w:multiLevelType w:val="hybridMultilevel"/>
    <w:tmpl w:val="4F48D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005327"/>
    <w:multiLevelType w:val="hybridMultilevel"/>
    <w:tmpl w:val="732CC2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C4EE0"/>
    <w:multiLevelType w:val="hybridMultilevel"/>
    <w:tmpl w:val="7428C7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062874">
    <w:abstractNumId w:val="41"/>
  </w:num>
  <w:num w:numId="2" w16cid:durableId="2024165150">
    <w:abstractNumId w:val="16"/>
  </w:num>
  <w:num w:numId="3" w16cid:durableId="2125345140">
    <w:abstractNumId w:val="1"/>
  </w:num>
  <w:num w:numId="4" w16cid:durableId="1993169295">
    <w:abstractNumId w:val="0"/>
  </w:num>
  <w:num w:numId="5" w16cid:durableId="1746150243">
    <w:abstractNumId w:val="29"/>
  </w:num>
  <w:num w:numId="6" w16cid:durableId="20520556">
    <w:abstractNumId w:val="9"/>
  </w:num>
  <w:num w:numId="7" w16cid:durableId="114645600">
    <w:abstractNumId w:val="15"/>
  </w:num>
  <w:num w:numId="8" w16cid:durableId="2101219665">
    <w:abstractNumId w:val="47"/>
  </w:num>
  <w:num w:numId="9" w16cid:durableId="1499495928">
    <w:abstractNumId w:val="33"/>
  </w:num>
  <w:num w:numId="10" w16cid:durableId="292055208">
    <w:abstractNumId w:val="26"/>
  </w:num>
  <w:num w:numId="11" w16cid:durableId="1623615650">
    <w:abstractNumId w:val="3"/>
  </w:num>
  <w:num w:numId="12" w16cid:durableId="822543349">
    <w:abstractNumId w:val="14"/>
  </w:num>
  <w:num w:numId="13" w16cid:durableId="1323657103">
    <w:abstractNumId w:val="44"/>
  </w:num>
  <w:num w:numId="14" w16cid:durableId="1737170163">
    <w:abstractNumId w:val="12"/>
  </w:num>
  <w:num w:numId="15" w16cid:durableId="397823971">
    <w:abstractNumId w:val="36"/>
  </w:num>
  <w:num w:numId="16" w16cid:durableId="1892379881">
    <w:abstractNumId w:val="2"/>
  </w:num>
  <w:num w:numId="17" w16cid:durableId="1941982349">
    <w:abstractNumId w:val="46"/>
  </w:num>
  <w:num w:numId="18" w16cid:durableId="2112311805">
    <w:abstractNumId w:val="17"/>
  </w:num>
  <w:num w:numId="19" w16cid:durableId="2075279600">
    <w:abstractNumId w:val="37"/>
  </w:num>
  <w:num w:numId="20" w16cid:durableId="1776900739">
    <w:abstractNumId w:val="24"/>
  </w:num>
  <w:num w:numId="21" w16cid:durableId="718355694">
    <w:abstractNumId w:val="20"/>
  </w:num>
  <w:num w:numId="22" w16cid:durableId="1963076638">
    <w:abstractNumId w:val="40"/>
  </w:num>
  <w:num w:numId="23" w16cid:durableId="360084549">
    <w:abstractNumId w:val="10"/>
  </w:num>
  <w:num w:numId="24" w16cid:durableId="1119907608">
    <w:abstractNumId w:val="38"/>
  </w:num>
  <w:num w:numId="25" w16cid:durableId="1539313851">
    <w:abstractNumId w:val="22"/>
  </w:num>
  <w:num w:numId="26" w16cid:durableId="335621254">
    <w:abstractNumId w:val="19"/>
  </w:num>
  <w:num w:numId="27" w16cid:durableId="731268177">
    <w:abstractNumId w:val="21"/>
  </w:num>
  <w:num w:numId="28" w16cid:durableId="1494101988">
    <w:abstractNumId w:val="30"/>
  </w:num>
  <w:num w:numId="29" w16cid:durableId="1249191342">
    <w:abstractNumId w:val="39"/>
  </w:num>
  <w:num w:numId="30" w16cid:durableId="559681690">
    <w:abstractNumId w:val="6"/>
  </w:num>
  <w:num w:numId="31" w16cid:durableId="236017849">
    <w:abstractNumId w:val="31"/>
  </w:num>
  <w:num w:numId="32" w16cid:durableId="1430277744">
    <w:abstractNumId w:val="13"/>
  </w:num>
  <w:num w:numId="33" w16cid:durableId="205995673">
    <w:abstractNumId w:val="25"/>
  </w:num>
  <w:num w:numId="34" w16cid:durableId="483011342">
    <w:abstractNumId w:val="45"/>
  </w:num>
  <w:num w:numId="35" w16cid:durableId="1873568006">
    <w:abstractNumId w:val="48"/>
  </w:num>
  <w:num w:numId="36" w16cid:durableId="1188444656">
    <w:abstractNumId w:val="42"/>
  </w:num>
  <w:num w:numId="37" w16cid:durableId="1188560921">
    <w:abstractNumId w:val="35"/>
  </w:num>
  <w:num w:numId="38" w16cid:durableId="999621555">
    <w:abstractNumId w:val="18"/>
  </w:num>
  <w:num w:numId="39" w16cid:durableId="1549100984">
    <w:abstractNumId w:val="28"/>
  </w:num>
  <w:num w:numId="40" w16cid:durableId="346492222">
    <w:abstractNumId w:val="11"/>
  </w:num>
  <w:num w:numId="41" w16cid:durableId="779223676">
    <w:abstractNumId w:val="27"/>
  </w:num>
  <w:num w:numId="42" w16cid:durableId="529535066">
    <w:abstractNumId w:val="32"/>
  </w:num>
  <w:num w:numId="43" w16cid:durableId="393892760">
    <w:abstractNumId w:val="43"/>
  </w:num>
  <w:num w:numId="44" w16cid:durableId="1517382879">
    <w:abstractNumId w:val="5"/>
  </w:num>
  <w:num w:numId="45" w16cid:durableId="2071925718">
    <w:abstractNumId w:val="34"/>
  </w:num>
  <w:num w:numId="46" w16cid:durableId="930508457">
    <w:abstractNumId w:val="4"/>
  </w:num>
  <w:num w:numId="47" w16cid:durableId="716704590">
    <w:abstractNumId w:val="23"/>
  </w:num>
  <w:num w:numId="48" w16cid:durableId="175734686">
    <w:abstractNumId w:val="8"/>
  </w:num>
  <w:num w:numId="49" w16cid:durableId="11773835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D"/>
    <w:rsid w:val="00021178"/>
    <w:rsid w:val="000329E8"/>
    <w:rsid w:val="00045C4B"/>
    <w:rsid w:val="00050E29"/>
    <w:rsid w:val="00096EB2"/>
    <w:rsid w:val="000B4A5D"/>
    <w:rsid w:val="000D2E7D"/>
    <w:rsid w:val="000D386B"/>
    <w:rsid w:val="000D51D8"/>
    <w:rsid w:val="000D7E71"/>
    <w:rsid w:val="000E0286"/>
    <w:rsid w:val="000E1208"/>
    <w:rsid w:val="000F577F"/>
    <w:rsid w:val="001070AE"/>
    <w:rsid w:val="00107690"/>
    <w:rsid w:val="0011161F"/>
    <w:rsid w:val="001154C9"/>
    <w:rsid w:val="00132842"/>
    <w:rsid w:val="001440A6"/>
    <w:rsid w:val="00171C42"/>
    <w:rsid w:val="00172C02"/>
    <w:rsid w:val="00192A63"/>
    <w:rsid w:val="001A32FD"/>
    <w:rsid w:val="001A4F72"/>
    <w:rsid w:val="001B147E"/>
    <w:rsid w:val="001B2511"/>
    <w:rsid w:val="001B65B2"/>
    <w:rsid w:val="001D66A2"/>
    <w:rsid w:val="001E5C05"/>
    <w:rsid w:val="001F105E"/>
    <w:rsid w:val="001F35E6"/>
    <w:rsid w:val="001F7589"/>
    <w:rsid w:val="00200AFC"/>
    <w:rsid w:val="002063A4"/>
    <w:rsid w:val="00220887"/>
    <w:rsid w:val="00224F30"/>
    <w:rsid w:val="002835BA"/>
    <w:rsid w:val="00285557"/>
    <w:rsid w:val="0028633B"/>
    <w:rsid w:val="00286ACF"/>
    <w:rsid w:val="002A685F"/>
    <w:rsid w:val="002B5F27"/>
    <w:rsid w:val="002C22E1"/>
    <w:rsid w:val="002E2B66"/>
    <w:rsid w:val="002E3E42"/>
    <w:rsid w:val="002F32CE"/>
    <w:rsid w:val="00326A31"/>
    <w:rsid w:val="00335838"/>
    <w:rsid w:val="00347488"/>
    <w:rsid w:val="003673BC"/>
    <w:rsid w:val="003770F5"/>
    <w:rsid w:val="0038193C"/>
    <w:rsid w:val="00390E2B"/>
    <w:rsid w:val="0039215C"/>
    <w:rsid w:val="003A1D6D"/>
    <w:rsid w:val="003B0E44"/>
    <w:rsid w:val="003C1531"/>
    <w:rsid w:val="003C1E95"/>
    <w:rsid w:val="003C6317"/>
    <w:rsid w:val="003D35C1"/>
    <w:rsid w:val="003D5417"/>
    <w:rsid w:val="003D7621"/>
    <w:rsid w:val="003F23FB"/>
    <w:rsid w:val="00435DDC"/>
    <w:rsid w:val="00451D66"/>
    <w:rsid w:val="004542F0"/>
    <w:rsid w:val="0046165D"/>
    <w:rsid w:val="00465C78"/>
    <w:rsid w:val="00483B36"/>
    <w:rsid w:val="004A2911"/>
    <w:rsid w:val="004B3E07"/>
    <w:rsid w:val="004B632F"/>
    <w:rsid w:val="00505C85"/>
    <w:rsid w:val="00506A76"/>
    <w:rsid w:val="00513B1B"/>
    <w:rsid w:val="00533276"/>
    <w:rsid w:val="005415B0"/>
    <w:rsid w:val="00552846"/>
    <w:rsid w:val="00552D24"/>
    <w:rsid w:val="00571508"/>
    <w:rsid w:val="005764BE"/>
    <w:rsid w:val="00580CB6"/>
    <w:rsid w:val="0058198D"/>
    <w:rsid w:val="00584885"/>
    <w:rsid w:val="005A4EFE"/>
    <w:rsid w:val="005B14CC"/>
    <w:rsid w:val="005B5F80"/>
    <w:rsid w:val="005C5F48"/>
    <w:rsid w:val="005D3ED7"/>
    <w:rsid w:val="005F6F0B"/>
    <w:rsid w:val="00603A77"/>
    <w:rsid w:val="00604B3A"/>
    <w:rsid w:val="006122CE"/>
    <w:rsid w:val="006145BC"/>
    <w:rsid w:val="00642A47"/>
    <w:rsid w:val="00643CD5"/>
    <w:rsid w:val="00665E5A"/>
    <w:rsid w:val="00676D5A"/>
    <w:rsid w:val="00682584"/>
    <w:rsid w:val="0069458E"/>
    <w:rsid w:val="00695727"/>
    <w:rsid w:val="006D1FC7"/>
    <w:rsid w:val="006D4790"/>
    <w:rsid w:val="006E1A05"/>
    <w:rsid w:val="006F1303"/>
    <w:rsid w:val="00705EC2"/>
    <w:rsid w:val="00706189"/>
    <w:rsid w:val="00714830"/>
    <w:rsid w:val="00727EA9"/>
    <w:rsid w:val="00727F2B"/>
    <w:rsid w:val="00733563"/>
    <w:rsid w:val="00735C92"/>
    <w:rsid w:val="00737D36"/>
    <w:rsid w:val="00770624"/>
    <w:rsid w:val="00781789"/>
    <w:rsid w:val="007A15A2"/>
    <w:rsid w:val="007A2236"/>
    <w:rsid w:val="007D4D07"/>
    <w:rsid w:val="0080208F"/>
    <w:rsid w:val="00806EE0"/>
    <w:rsid w:val="00807FD8"/>
    <w:rsid w:val="00810DFA"/>
    <w:rsid w:val="00815932"/>
    <w:rsid w:val="0083591C"/>
    <w:rsid w:val="00850029"/>
    <w:rsid w:val="00892108"/>
    <w:rsid w:val="008945B2"/>
    <w:rsid w:val="008C7BFC"/>
    <w:rsid w:val="008D0B13"/>
    <w:rsid w:val="008D726C"/>
    <w:rsid w:val="008E354F"/>
    <w:rsid w:val="00900BE8"/>
    <w:rsid w:val="00902F45"/>
    <w:rsid w:val="0091323F"/>
    <w:rsid w:val="009309CD"/>
    <w:rsid w:val="009320B4"/>
    <w:rsid w:val="009456E5"/>
    <w:rsid w:val="00946312"/>
    <w:rsid w:val="0095498A"/>
    <w:rsid w:val="00954D18"/>
    <w:rsid w:val="009B1BDD"/>
    <w:rsid w:val="009C024F"/>
    <w:rsid w:val="009C09C4"/>
    <w:rsid w:val="009C3E2E"/>
    <w:rsid w:val="009E0E2D"/>
    <w:rsid w:val="009E5BA3"/>
    <w:rsid w:val="009F5080"/>
    <w:rsid w:val="009F7931"/>
    <w:rsid w:val="00A02B47"/>
    <w:rsid w:val="00A045F7"/>
    <w:rsid w:val="00A2210B"/>
    <w:rsid w:val="00A2697F"/>
    <w:rsid w:val="00A40BAE"/>
    <w:rsid w:val="00A40C49"/>
    <w:rsid w:val="00A41406"/>
    <w:rsid w:val="00A54B00"/>
    <w:rsid w:val="00A66EFA"/>
    <w:rsid w:val="00A709C0"/>
    <w:rsid w:val="00A74B73"/>
    <w:rsid w:val="00AB6473"/>
    <w:rsid w:val="00AD0909"/>
    <w:rsid w:val="00B17A78"/>
    <w:rsid w:val="00B20A22"/>
    <w:rsid w:val="00B23AD5"/>
    <w:rsid w:val="00B47185"/>
    <w:rsid w:val="00B60619"/>
    <w:rsid w:val="00B6119B"/>
    <w:rsid w:val="00B64571"/>
    <w:rsid w:val="00B85BAD"/>
    <w:rsid w:val="00B900E5"/>
    <w:rsid w:val="00BA3A76"/>
    <w:rsid w:val="00BB0E10"/>
    <w:rsid w:val="00BC4E06"/>
    <w:rsid w:val="00BF0927"/>
    <w:rsid w:val="00BF199B"/>
    <w:rsid w:val="00BF27CE"/>
    <w:rsid w:val="00C1220E"/>
    <w:rsid w:val="00C2338A"/>
    <w:rsid w:val="00C249AE"/>
    <w:rsid w:val="00C27211"/>
    <w:rsid w:val="00C60DD4"/>
    <w:rsid w:val="00C624AF"/>
    <w:rsid w:val="00C653E7"/>
    <w:rsid w:val="00C65EB6"/>
    <w:rsid w:val="00C81F18"/>
    <w:rsid w:val="00C82FE0"/>
    <w:rsid w:val="00C873D9"/>
    <w:rsid w:val="00C947DE"/>
    <w:rsid w:val="00C96CD9"/>
    <w:rsid w:val="00CA3D0B"/>
    <w:rsid w:val="00CE06A1"/>
    <w:rsid w:val="00D01C73"/>
    <w:rsid w:val="00D103C8"/>
    <w:rsid w:val="00D12897"/>
    <w:rsid w:val="00D15C84"/>
    <w:rsid w:val="00D21E3D"/>
    <w:rsid w:val="00D22900"/>
    <w:rsid w:val="00D31407"/>
    <w:rsid w:val="00D459F1"/>
    <w:rsid w:val="00D5633D"/>
    <w:rsid w:val="00D71753"/>
    <w:rsid w:val="00D956C7"/>
    <w:rsid w:val="00D97A97"/>
    <w:rsid w:val="00DA28CA"/>
    <w:rsid w:val="00DA56F1"/>
    <w:rsid w:val="00DB3AA9"/>
    <w:rsid w:val="00DF4036"/>
    <w:rsid w:val="00DF5112"/>
    <w:rsid w:val="00E07A88"/>
    <w:rsid w:val="00E319A9"/>
    <w:rsid w:val="00E3208F"/>
    <w:rsid w:val="00E33EF9"/>
    <w:rsid w:val="00E37A7E"/>
    <w:rsid w:val="00E527A1"/>
    <w:rsid w:val="00E567B0"/>
    <w:rsid w:val="00E62DF1"/>
    <w:rsid w:val="00E81C74"/>
    <w:rsid w:val="00E95DE7"/>
    <w:rsid w:val="00E96224"/>
    <w:rsid w:val="00EA2471"/>
    <w:rsid w:val="00EA3BE2"/>
    <w:rsid w:val="00EA68FC"/>
    <w:rsid w:val="00EE07E6"/>
    <w:rsid w:val="00EF774C"/>
    <w:rsid w:val="00F01747"/>
    <w:rsid w:val="00F13D72"/>
    <w:rsid w:val="00F27F7D"/>
    <w:rsid w:val="00F37A72"/>
    <w:rsid w:val="00F62616"/>
    <w:rsid w:val="00F6438A"/>
    <w:rsid w:val="00F72C12"/>
    <w:rsid w:val="00F76A66"/>
    <w:rsid w:val="00F854AD"/>
    <w:rsid w:val="00FA0DD3"/>
    <w:rsid w:val="00FA3243"/>
    <w:rsid w:val="00FB22F4"/>
    <w:rsid w:val="00FC4ABA"/>
    <w:rsid w:val="00FC7A25"/>
    <w:rsid w:val="00FE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2B900"/>
  <w15:docId w15:val="{43C79572-8E50-964F-AD94-72CCD9FD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2511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7E"/>
  </w:style>
  <w:style w:type="paragraph" w:styleId="Footer">
    <w:name w:val="footer"/>
    <w:basedOn w:val="Normal"/>
    <w:link w:val="Foot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7E"/>
  </w:style>
  <w:style w:type="character" w:styleId="PlaceholderText">
    <w:name w:val="Placeholder Text"/>
    <w:basedOn w:val="DefaultParagraphFont"/>
    <w:uiPriority w:val="99"/>
    <w:semiHidden/>
    <w:rsid w:val="00C653E7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F76A66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76A66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F76A66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D7E71"/>
  </w:style>
  <w:style w:type="character" w:styleId="Hyperlink">
    <w:name w:val="Hyperlink"/>
    <w:basedOn w:val="DefaultParagraphFont"/>
    <w:uiPriority w:val="99"/>
    <w:unhideWhenUsed/>
    <w:rsid w:val="00BC4E0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4E0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461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stan2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isc.org/publications/steel-standards/aisc-36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DEl4VRLptK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Ron Ziemian</cp:lastModifiedBy>
  <cp:revision>4</cp:revision>
  <cp:lastPrinted>2025-08-29T15:43:00Z</cp:lastPrinted>
  <dcterms:created xsi:type="dcterms:W3CDTF">2025-08-29T15:43:00Z</dcterms:created>
  <dcterms:modified xsi:type="dcterms:W3CDTF">2025-08-29T21:03:00Z</dcterms:modified>
</cp:coreProperties>
</file>